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A7C89" w:rsidRDefault="00A76978" w:rsidP="00634277">
      <w:pPr>
        <w:spacing w:after="0" w:line="240" w:lineRule="auto"/>
        <w:rPr>
          <w:rFonts w:ascii="Tahoma" w:hAnsi="Tahoma" w:cs="Tahoma"/>
          <w:b/>
          <w:bCs/>
          <w:color w:val="000000"/>
          <w:sz w:val="20"/>
          <w:szCs w:val="16"/>
          <w:shd w:val="clear" w:color="auto" w:fill="FFFFFF"/>
        </w:rPr>
      </w:pPr>
      <w:r w:rsidRPr="00FA7C89">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60288" behindDoc="0" locked="0" layoutInCell="1" allowOverlap="1" wp14:anchorId="53A39BC1" wp14:editId="469B2177">
                <wp:simplePos x="0" y="0"/>
                <wp:positionH relativeFrom="column">
                  <wp:posOffset>3210296</wp:posOffset>
                </wp:positionH>
                <wp:positionV relativeFrom="paragraph">
                  <wp:posOffset>26670</wp:posOffset>
                </wp:positionV>
                <wp:extent cx="2910205" cy="771525"/>
                <wp:effectExtent l="0" t="0" r="0" b="9525"/>
                <wp:wrapNone/>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0205" cy="771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D737D" w:rsidRPr="002671A9" w:rsidRDefault="003D737D"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3D737D" w:rsidRPr="00491E34" w:rsidRDefault="003D737D"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6</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Cuadro de texto 2" o:spid="_x0000_s1026" type="#_x0000_t202" style="position:absolute;margin-left:252.8pt;margin-top:2.1pt;width:229.1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" filled="f" stroked="f">
                <v:textbox>
                  <w:txbxContent>
                    <w:p w:rsidR="003D737D" w:rsidRPr="002671A9" w:rsidRDefault="003D737D" w:rsidP="00FA7C89">
                      <w:pPr>
                        <w:spacing w:after="0" w:line="240" w:lineRule="auto"/>
                        <w:jc w:val="right"/>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Boletín</w:t>
                      </w:r>
                      <w:r w:rsidRPr="002671A9">
                        <w:rPr>
                          <w:rFonts w:ascii="Arno Pro Display" w:hAnsi="Arno Pro Display"/>
                          <w:sz w:val="42"/>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 </w:t>
                      </w:r>
                    </w:p>
                    <w:p w:rsidR="003D737D" w:rsidRPr="00491E34" w:rsidRDefault="003D737D" w:rsidP="00FA7C89">
                      <w:pPr>
                        <w:spacing w:after="0" w:line="240" w:lineRule="auto"/>
                        <w:jc w:val="right"/>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pP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Flash Informativo 6</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Enero </w:t>
                      </w:r>
                      <w:r w:rsidRPr="00491E34">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201</w:t>
                      </w:r>
                      <w:r>
                        <w:rPr>
                          <w:rFonts w:ascii="Arno Pro Display" w:hAnsi="Arno Pro Display"/>
                          <w:sz w:val="30"/>
                          <w14:shadow w14:blurRad="63500" w14:dist="0" w14:dir="3600000" w14:sx="100000" w14:sy="100000" w14:kx="0" w14:ky="0" w14:algn="tl">
                            <w14:srgbClr w14:val="000000">
                              <w14:alpha w14:val="30000"/>
                            </w14:srgbClr>
                          </w14:shadow>
                          <w14:textOutline w14:w="9207" w14:cap="flat" w14:cmpd="sng" w14:algn="ctr">
                            <w14:solidFill>
                              <w14:srgbClr w14:val="FFFFFF"/>
                            </w14:solidFill>
                            <w14:prstDash w14:val="solid"/>
                            <w14:round/>
                          </w14:textOutline>
                          <w14:textFill>
                            <w14:solidFill>
                              <w14:srgbClr w14:val="FFFFFF"/>
                            </w14:solidFill>
                          </w14:textFill>
                        </w:rPr>
                        <w:t xml:space="preserve">6 </w:t>
                      </w:r>
                    </w:p>
                  </w:txbxContent>
                </v:textbox>
              </v:shape>
            </w:pict>
          </mc:Fallback>
        </mc:AlternateContent>
      </w:r>
      <w:r w:rsidRPr="00FA7C89">
        <w:rPr>
          <w:rFonts w:ascii="Tahoma" w:hAnsi="Tahoma" w:cs="Tahoma"/>
          <w:b/>
          <w:bCs/>
          <w:noProof/>
          <w:color w:val="000000"/>
          <w:sz w:val="20"/>
          <w:szCs w:val="16"/>
          <w:shd w:val="clear" w:color="auto" w:fill="FFFFFF"/>
          <w:lang w:val="es-EC" w:eastAsia="es-EC"/>
        </w:rPr>
        <mc:AlternateContent>
          <mc:Choice Requires="wps">
            <w:drawing>
              <wp:anchor distT="0" distB="0" distL="114300" distR="114300" simplePos="0" relativeHeight="251659264" behindDoc="1" locked="0" layoutInCell="1" allowOverlap="1" wp14:anchorId="6C418490" wp14:editId="2887752F">
                <wp:simplePos x="0" y="0"/>
                <wp:positionH relativeFrom="margin">
                  <wp:posOffset>-310515</wp:posOffset>
                </wp:positionH>
                <wp:positionV relativeFrom="topMargin">
                  <wp:posOffset>867039</wp:posOffset>
                </wp:positionV>
                <wp:extent cx="6642100" cy="739140"/>
                <wp:effectExtent l="95250" t="38100" r="101600" b="156210"/>
                <wp:wrapNone/>
                <wp:docPr id="1" name="Rectangle 1"/>
                <wp:cNvGraphicFramePr/>
                <a:graphic xmlns:a="http://schemas.openxmlformats.org/drawingml/2006/main">
                  <a:graphicData uri="http://schemas.microsoft.com/office/word/2010/wordprocessingShape">
                    <wps:wsp>
                      <wps:cNvSpPr/>
                      <wps:spPr>
                        <a:xfrm>
                          <a:off x="0" y="0"/>
                          <a:ext cx="6642100" cy="739140"/>
                        </a:xfrm>
                        <a:prstGeom prst="rect">
                          <a:avLst/>
                        </a:prstGeom>
                        <a:ln>
                          <a:noFill/>
                        </a:ln>
                        <a:effectLst>
                          <a:outerShdw blurRad="88900" dist="50800" dir="5400000" algn="t" rotWithShape="0">
                            <a:prstClr val="black">
                              <a:alpha val="25000"/>
                            </a:prstClr>
                          </a:outerShdw>
                        </a:effectLst>
                      </wps:spPr>
                      <wps:style>
                        <a:lnRef idx="2">
                          <a:schemeClr val="accent1">
                            <a:shade val="50000"/>
                          </a:schemeClr>
                        </a:lnRef>
                        <a:fillRef idx="1003">
                          <a:schemeClr val="dk2"/>
                        </a:fillRef>
                        <a:effectRef idx="0">
                          <a:schemeClr val="accent1"/>
                        </a:effectRef>
                        <a:fontRef idx="minor">
                          <a:schemeClr val="lt1"/>
                        </a:fontRef>
                      </wps:style>
                      <wps:txbx>
                        <w:txbxContent>
                          <w:p w:rsidR="003D737D" w:rsidRDefault="003D737D" w:rsidP="00FA7C89"/>
                          <w:p w:rsidR="003D737D" w:rsidRDefault="003D737D" w:rsidP="00FA7C89"/>
                          <w:tbl>
                            <w:tblPr>
                              <w:tblW w:w="5000" w:type="pct"/>
                              <w:jc w:val="center"/>
                              <w:tblLook w:val="04A0" w:firstRow="1" w:lastRow="0" w:firstColumn="1" w:lastColumn="0" w:noHBand="0" w:noVBand="1"/>
                            </w:tblPr>
                            <w:tblGrid>
                              <w:gridCol w:w="3454"/>
                              <w:gridCol w:w="3454"/>
                              <w:gridCol w:w="3455"/>
                            </w:tblGrid>
                            <w:tr w:rsidR="003D737D" w:rsidTr="003D737D">
                              <w:trPr>
                                <w:jc w:val="center"/>
                              </w:trPr>
                              <w:tc>
                                <w:tcPr>
                                  <w:tcW w:w="3506" w:type="dxa"/>
                                </w:tcPr>
                                <w:p w:rsidR="003D737D" w:rsidRDefault="003D737D">
                                  <w:pPr>
                                    <w:spacing w:after="160" w:line="264" w:lineRule="auto"/>
                                    <w:jc w:val="center"/>
                                  </w:pPr>
                                </w:p>
                              </w:tc>
                              <w:tc>
                                <w:tcPr>
                                  <w:tcW w:w="3506" w:type="dxa"/>
                                </w:tcPr>
                                <w:p w:rsidR="003D737D" w:rsidRDefault="003D737D">
                                  <w:pPr>
                                    <w:spacing w:after="160" w:line="264" w:lineRule="auto"/>
                                    <w:jc w:val="center"/>
                                  </w:pPr>
                                </w:p>
                              </w:tc>
                              <w:tc>
                                <w:tcPr>
                                  <w:tcW w:w="3507" w:type="dxa"/>
                                </w:tcPr>
                                <w:p w:rsidR="003D737D" w:rsidRDefault="003D737D">
                                  <w:pPr>
                                    <w:jc w:val="center"/>
                                  </w:pPr>
                                </w:p>
                              </w:tc>
                            </w:tr>
                          </w:tbl>
                          <w:p w:rsidR="003D737D" w:rsidRDefault="003D737D" w:rsidP="00FA7C89">
                            <w:pPr>
                              <w:jc w:val="center"/>
                            </w:pPr>
                          </w:p>
                        </w:txbxContent>
                      </wps:txbx>
                      <wps:bodyPr rot="0" spcFirstLastPara="0" vertOverflow="overflow" horzOverflow="overflow" vert="horz" wrap="square" lIns="91440" tIns="18288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topMargin">
                  <wp14:pctHeight>0</wp14:pctHeight>
                </wp14:sizeRelV>
              </wp:anchor>
            </w:drawing>
          </mc:Choice>
          <mc:Fallback>
            <w:pict>
              <v:rect id="Rectangle 1" o:spid="_x0000_s1027" style="position:absolute;margin-left:-24.45pt;margin-top:68.25pt;width:523pt;height:58.2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top-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" fillcolor="#2d69b5 [2578]" stroked="f" strokeweight="2pt">
                <v:fill color2="#091525 [962]" rotate="t" focusposition=".5,.5" focussize="" focus="100%" type="gradientRadial"/>
                <v:shadow on="t" color="black" opacity=".25" origin=",-.5" offset="0,4pt"/>
                <v:textbox inset=",14.4pt">
                  <w:txbxContent>
                    <w:p w:rsidR="003D737D" w:rsidRDefault="003D737D" w:rsidP="00FA7C89"/>
                    <w:p w:rsidR="003D737D" w:rsidRDefault="003D737D" w:rsidP="00FA7C89"/>
                    <w:tbl>
                      <w:tblPr>
                        <w:tblW w:w="5000" w:type="pct"/>
                        <w:jc w:val="center"/>
                        <w:tblLook w:val="04A0" w:firstRow="1" w:lastRow="0" w:firstColumn="1" w:lastColumn="0" w:noHBand="0" w:noVBand="1"/>
                      </w:tblPr>
                      <w:tblGrid>
                        <w:gridCol w:w="3454"/>
                        <w:gridCol w:w="3454"/>
                        <w:gridCol w:w="3455"/>
                      </w:tblGrid>
                      <w:tr w:rsidR="003D737D" w:rsidTr="003D737D">
                        <w:trPr>
                          <w:jc w:val="center"/>
                        </w:trPr>
                        <w:tc>
                          <w:tcPr>
                            <w:tcW w:w="3506" w:type="dxa"/>
                          </w:tcPr>
                          <w:p w:rsidR="003D737D" w:rsidRDefault="003D737D">
                            <w:pPr>
                              <w:spacing w:after="160" w:line="264" w:lineRule="auto"/>
                              <w:jc w:val="center"/>
                            </w:pPr>
                          </w:p>
                        </w:tc>
                        <w:tc>
                          <w:tcPr>
                            <w:tcW w:w="3506" w:type="dxa"/>
                          </w:tcPr>
                          <w:p w:rsidR="003D737D" w:rsidRDefault="003D737D">
                            <w:pPr>
                              <w:spacing w:after="160" w:line="264" w:lineRule="auto"/>
                              <w:jc w:val="center"/>
                            </w:pPr>
                          </w:p>
                        </w:tc>
                        <w:tc>
                          <w:tcPr>
                            <w:tcW w:w="3507" w:type="dxa"/>
                          </w:tcPr>
                          <w:p w:rsidR="003D737D" w:rsidRDefault="003D737D">
                            <w:pPr>
                              <w:jc w:val="center"/>
                            </w:pPr>
                          </w:p>
                        </w:tc>
                      </w:tr>
                    </w:tbl>
                    <w:p w:rsidR="003D737D" w:rsidRDefault="003D737D" w:rsidP="00FA7C89">
                      <w:pPr>
                        <w:jc w:val="center"/>
                      </w:pPr>
                    </w:p>
                  </w:txbxContent>
                </v:textbox>
                <w10:wrap anchorx="margin" anchory="margin"/>
              </v:rect>
            </w:pict>
          </mc:Fallback>
        </mc:AlternateContent>
      </w:r>
      <w:r w:rsidRPr="00FA7C89">
        <w:rPr>
          <w:rFonts w:ascii="Tahoma" w:hAnsi="Tahoma" w:cs="Tahoma"/>
          <w:b/>
          <w:bCs/>
          <w:noProof/>
          <w:color w:val="000000"/>
          <w:sz w:val="20"/>
          <w:szCs w:val="16"/>
          <w:shd w:val="clear" w:color="auto" w:fill="FFFFFF"/>
          <w:lang w:val="es-EC" w:eastAsia="es-EC"/>
        </w:rPr>
        <w:drawing>
          <wp:anchor distT="0" distB="0" distL="114300" distR="114300" simplePos="0" relativeHeight="251661312" behindDoc="1" locked="0" layoutInCell="1" allowOverlap="1" wp14:anchorId="6FA76310" wp14:editId="03905899">
            <wp:simplePos x="0" y="0"/>
            <wp:positionH relativeFrom="column">
              <wp:posOffset>4438015</wp:posOffset>
            </wp:positionH>
            <wp:positionV relativeFrom="paragraph">
              <wp:posOffset>-549275</wp:posOffset>
            </wp:positionV>
            <wp:extent cx="1615440" cy="445135"/>
            <wp:effectExtent l="0" t="0" r="3810" b="0"/>
            <wp:wrapTight wrapText="bothSides">
              <wp:wrapPolygon edited="0">
                <wp:start x="0" y="0"/>
                <wp:lineTo x="0" y="20337"/>
                <wp:lineTo x="21396" y="20337"/>
                <wp:lineTo x="21396" y="0"/>
                <wp:lineTo x="0" y="0"/>
              </wp:wrapPolygon>
            </wp:wrapTight>
            <wp:docPr id="1714522" name="1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522" name="1 Imagen"/>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5440" cy="445135"/>
                    </a:xfrm>
                    <a:prstGeom prst="rect">
                      <a:avLst/>
                    </a:prstGeom>
                    <a:noFill/>
                    <a:ln>
                      <a:noFill/>
                    </a:ln>
                    <a:extLst/>
                  </pic:spPr>
                </pic:pic>
              </a:graphicData>
            </a:graphic>
            <wp14:sizeRelH relativeFrom="page">
              <wp14:pctWidth>0</wp14:pctWidth>
            </wp14:sizeRelH>
            <wp14:sizeRelV relativeFrom="page">
              <wp14:pctHeight>0</wp14:pctHeight>
            </wp14:sizeRelV>
          </wp:anchor>
        </w:drawing>
      </w: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FA7C89" w:rsidP="00634277">
      <w:pPr>
        <w:spacing w:after="0" w:line="240" w:lineRule="auto"/>
        <w:rPr>
          <w:rFonts w:ascii="Tahoma" w:hAnsi="Tahoma" w:cs="Tahoma"/>
          <w:b/>
          <w:bCs/>
          <w:color w:val="000000"/>
          <w:sz w:val="20"/>
          <w:szCs w:val="16"/>
          <w:shd w:val="clear" w:color="auto" w:fill="FFFFFF"/>
        </w:rPr>
      </w:pPr>
    </w:p>
    <w:p w:rsidR="00FA7C89" w:rsidRDefault="00E262EE" w:rsidP="00634277">
      <w:pPr>
        <w:spacing w:after="0" w:line="240" w:lineRule="auto"/>
        <w:rPr>
          <w:rFonts w:ascii="Tahoma" w:hAnsi="Tahoma" w:cs="Tahoma"/>
          <w:b/>
          <w:bCs/>
          <w:color w:val="000000"/>
          <w:sz w:val="20"/>
          <w:szCs w:val="16"/>
          <w:shd w:val="clear" w:color="auto" w:fill="FFFFFF"/>
        </w:rPr>
      </w:pPr>
      <w:r>
        <w:rPr>
          <w:noProof/>
          <w:lang w:val="es-EC" w:eastAsia="es-EC"/>
        </w:rPr>
        <w:drawing>
          <wp:anchor distT="0" distB="0" distL="114300" distR="114300" simplePos="0" relativeHeight="251658239" behindDoc="1" locked="0" layoutInCell="1" allowOverlap="1" wp14:anchorId="200893B0" wp14:editId="04169BD6">
            <wp:simplePos x="0" y="0"/>
            <wp:positionH relativeFrom="column">
              <wp:posOffset>-313055</wp:posOffset>
            </wp:positionH>
            <wp:positionV relativeFrom="paragraph">
              <wp:posOffset>78105</wp:posOffset>
            </wp:positionV>
            <wp:extent cx="6642100" cy="1574165"/>
            <wp:effectExtent l="0" t="0" r="6350" b="6985"/>
            <wp:wrapTight wrapText="bothSides">
              <wp:wrapPolygon edited="0">
                <wp:start x="0" y="0"/>
                <wp:lineTo x="0" y="21434"/>
                <wp:lineTo x="21559" y="21434"/>
                <wp:lineTo x="21559" y="0"/>
                <wp:lineTo x="0" y="0"/>
              </wp:wrapPolygon>
            </wp:wrapTight>
            <wp:docPr id="2" name="Picture 2" descr="http://media2.prevencionar.com/media/sites/7/2015/11/maestria_finanz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2.prevencionar.com/media/sites/7/2015/11/maestria_finanzas.jpg"/>
                    <pic:cNvPicPr>
                      <a:picLocks noChangeAspect="1" noChangeArrowheads="1"/>
                    </pic:cNvPicPr>
                  </pic:nvPicPr>
                  <pic:blipFill rotWithShape="1">
                    <a:blip r:embed="rId11">
                      <a:extLst>
                        <a:ext uri="{28A0092B-C50C-407E-A947-70E740481C1C}">
                          <a14:useLocalDpi xmlns:a14="http://schemas.microsoft.com/office/drawing/2010/main" val="0"/>
                        </a:ext>
                      </a:extLst>
                    </a:blip>
                    <a:srcRect t="18020" b="13971"/>
                    <a:stretch/>
                  </pic:blipFill>
                  <pic:spPr bwMode="auto">
                    <a:xfrm>
                      <a:off x="0" y="0"/>
                      <a:ext cx="6642100" cy="15741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FA7C89" w:rsidRPr="003D737D" w:rsidRDefault="00AD7D8C" w:rsidP="00AD7D8C">
      <w:pPr>
        <w:spacing w:after="0" w:line="240" w:lineRule="auto"/>
        <w:jc w:val="center"/>
        <w:rPr>
          <w:rFonts w:ascii="Tahoma" w:hAnsi="Tahoma" w:cs="Tahoma"/>
          <w:b/>
          <w:bCs/>
          <w:color w:val="0070C0"/>
          <w:szCs w:val="16"/>
          <w:shd w:val="clear" w:color="auto" w:fill="FFFFFF"/>
          <w14:textOutline w14:w="9525" w14:cap="rnd" w14:cmpd="sng" w14:algn="ctr">
            <w14:solidFill>
              <w14:srgbClr w14:val="0070C0"/>
            </w14:solidFill>
            <w14:prstDash w14:val="solid"/>
            <w14:bevel/>
          </w14:textOutline>
        </w:rPr>
      </w:pPr>
      <w:r w:rsidRPr="003D737D">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EJECUTIVA</w:t>
      </w:r>
    </w:p>
    <w:p w:rsidR="00AD7D8C" w:rsidRDefault="00AD7D8C" w:rsidP="00AD7D8C">
      <w:pPr>
        <w:shd w:val="clear" w:color="auto" w:fill="FFFFFF"/>
        <w:spacing w:after="0" w:line="240" w:lineRule="auto"/>
        <w:jc w:val="center"/>
        <w:rPr>
          <w:rFonts w:ascii="Tahoma" w:eastAsia="Times New Roman" w:hAnsi="Tahoma" w:cs="Tahoma"/>
          <w:b/>
          <w:bCs/>
          <w:color w:val="000000"/>
          <w:sz w:val="16"/>
          <w:szCs w:val="16"/>
          <w:lang w:eastAsia="es-ES"/>
        </w:rPr>
      </w:pPr>
    </w:p>
    <w:p w:rsidR="005B5D4F" w:rsidRPr="003D737D" w:rsidRDefault="005B5D4F" w:rsidP="005B5D4F">
      <w:pPr>
        <w:shd w:val="clear" w:color="auto" w:fill="FFFFFF"/>
        <w:spacing w:after="0" w:line="240" w:lineRule="auto"/>
        <w:rPr>
          <w:rFonts w:ascii="Tahoma" w:eastAsia="Times New Roman" w:hAnsi="Tahoma" w:cs="Tahoma"/>
          <w:b/>
          <w:bCs/>
          <w:color w:val="0070C0"/>
          <w:sz w:val="24"/>
          <w:szCs w:val="16"/>
          <w:lang w:eastAsia="es-ES"/>
        </w:rPr>
      </w:pPr>
      <w:r>
        <w:rPr>
          <w:rFonts w:ascii="Tahoma" w:eastAsia="Times New Roman" w:hAnsi="Tahoma" w:cs="Tahoma"/>
          <w:b/>
          <w:bCs/>
          <w:color w:val="0070C0"/>
          <w:sz w:val="24"/>
          <w:szCs w:val="16"/>
          <w:lang w:eastAsia="es-ES"/>
        </w:rPr>
        <w:t>PRESIDENCIA DE LA REPÚBLICA</w:t>
      </w:r>
      <w:r w:rsidRPr="003D737D">
        <w:rPr>
          <w:rFonts w:ascii="Tahoma" w:eastAsia="Times New Roman" w:hAnsi="Tahoma" w:cs="Tahoma"/>
          <w:b/>
          <w:bCs/>
          <w:color w:val="0070C0"/>
          <w:sz w:val="24"/>
          <w:szCs w:val="16"/>
          <w:lang w:eastAsia="es-ES"/>
        </w:rPr>
        <w:t xml:space="preserve"> COMERCIO EXTERIOR: </w:t>
      </w:r>
    </w:p>
    <w:p w:rsidR="005B5D4F" w:rsidRDefault="005B5D4F" w:rsidP="00AD7D8C">
      <w:pPr>
        <w:shd w:val="clear" w:color="auto" w:fill="FFFFFF"/>
        <w:spacing w:after="0" w:line="240" w:lineRule="auto"/>
        <w:jc w:val="center"/>
        <w:rPr>
          <w:rFonts w:ascii="Tahoma" w:eastAsia="Times New Roman" w:hAnsi="Tahoma" w:cs="Tahoma"/>
          <w:b/>
          <w:bCs/>
          <w:color w:val="000000"/>
          <w:sz w:val="16"/>
          <w:szCs w:val="16"/>
          <w:lang w:eastAsia="es-ES"/>
        </w:rPr>
      </w:pPr>
    </w:p>
    <w:p w:rsidR="005B5D4F" w:rsidRPr="005B5D4F" w:rsidRDefault="005B5D4F" w:rsidP="005B5D4F">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5B5D4F">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Registro Oficial No. 679, Jueves 28 de Enero de 2016</w:t>
      </w:r>
    </w:p>
    <w:p w:rsidR="005B5D4F" w:rsidRPr="005B5D4F" w:rsidRDefault="005B5D4F" w:rsidP="005B5D4F">
      <w:pPr>
        <w:pStyle w:val="Prrafodelista"/>
        <w:shd w:val="clear" w:color="auto" w:fill="FFFFFF"/>
        <w:spacing w:after="0" w:line="240" w:lineRule="auto"/>
        <w:jc w:val="both"/>
        <w:rPr>
          <w:rStyle w:val="Hipervnculo"/>
          <w:rFonts w:ascii="Tahoma" w:hAnsi="Tahoma" w:cs="Tahoma"/>
          <w:color w:val="000000"/>
          <w:sz w:val="16"/>
          <w:szCs w:val="27"/>
          <w:u w:val="none"/>
          <w:shd w:val="clear" w:color="auto" w:fill="FFFFFF"/>
        </w:rPr>
      </w:pPr>
    </w:p>
    <w:p w:rsidR="005B5D4F" w:rsidRPr="0018394A" w:rsidRDefault="005B5D4F" w:rsidP="005B5D4F">
      <w:pPr>
        <w:pStyle w:val="Prrafodelista"/>
        <w:numPr>
          <w:ilvl w:val="0"/>
          <w:numId w:val="7"/>
        </w:numPr>
        <w:shd w:val="clear" w:color="auto" w:fill="FFFFFF"/>
        <w:spacing w:after="0" w:line="240" w:lineRule="auto"/>
        <w:jc w:val="both"/>
        <w:rPr>
          <w:rFonts w:ascii="Tahoma" w:hAnsi="Tahoma" w:cs="Tahoma"/>
          <w:color w:val="000000"/>
          <w:sz w:val="18"/>
          <w:szCs w:val="18"/>
          <w:shd w:val="clear" w:color="auto" w:fill="FFFFFF"/>
        </w:rPr>
      </w:pPr>
      <w:r w:rsidRPr="0018394A">
        <w:rPr>
          <w:rStyle w:val="Hipervnculo"/>
          <w:rFonts w:ascii="Tahoma" w:hAnsi="Tahoma" w:cs="Tahoma"/>
          <w:b/>
          <w:color w:val="000099"/>
          <w:sz w:val="18"/>
          <w:szCs w:val="18"/>
          <w:shd w:val="clear" w:color="auto" w:fill="FFFFFF"/>
        </w:rPr>
        <w:t xml:space="preserve">Decreto </w:t>
      </w:r>
      <w:hyperlink r:id="rId12" w:history="1">
        <w:r w:rsidRPr="0018394A">
          <w:rPr>
            <w:rStyle w:val="Hipervnculo"/>
            <w:rFonts w:ascii="Tahoma" w:hAnsi="Tahoma" w:cs="Tahoma"/>
            <w:b/>
            <w:color w:val="000099"/>
            <w:sz w:val="18"/>
            <w:szCs w:val="18"/>
            <w:shd w:val="clear" w:color="auto" w:fill="FFFFFF"/>
          </w:rPr>
          <w:t>862:</w:t>
        </w:r>
      </w:hyperlink>
      <w:r w:rsidRPr="0018394A">
        <w:rPr>
          <w:rStyle w:val="apple-converted-space"/>
          <w:rFonts w:ascii="Tahoma" w:hAnsi="Tahoma" w:cs="Tahoma"/>
          <w:color w:val="000000"/>
          <w:sz w:val="18"/>
          <w:szCs w:val="18"/>
          <w:shd w:val="clear" w:color="auto" w:fill="FFFFFF"/>
        </w:rPr>
        <w:t> </w:t>
      </w:r>
      <w:r w:rsidRPr="0018394A">
        <w:rPr>
          <w:rFonts w:ascii="Tahoma" w:hAnsi="Tahoma" w:cs="Tahoma"/>
          <w:color w:val="000000"/>
          <w:sz w:val="18"/>
          <w:szCs w:val="18"/>
          <w:shd w:val="clear" w:color="auto" w:fill="FFFFFF"/>
        </w:rPr>
        <w:t>Se exonera del pago del cien por ciento (100%) del valor del anticipo al impuesto a la renta del período fiscal 2015, a los contribuyentes registrados ante el SRI, con CIIU de Código de Actividad Económica Nivel 6 No. A012702,  correspondiente a cultivo de cacao y a exportadores dedicados exclusivamente a la comercialización de cacao en grano.</w:t>
      </w:r>
    </w:p>
    <w:p w:rsidR="005B5D4F" w:rsidRPr="00634277" w:rsidRDefault="005B5D4F" w:rsidP="005B5D4F">
      <w:pPr>
        <w:spacing w:after="0" w:line="240" w:lineRule="auto"/>
        <w:rPr>
          <w:rFonts w:ascii="Tahoma" w:hAnsi="Tahoma" w:cs="Tahoma"/>
          <w:color w:val="000000"/>
          <w:sz w:val="16"/>
          <w:szCs w:val="27"/>
          <w:shd w:val="clear" w:color="auto" w:fill="FFFFFF"/>
        </w:rPr>
      </w:pPr>
    </w:p>
    <w:p w:rsidR="005B5D4F" w:rsidRDefault="005B5D4F" w:rsidP="005B5D4F">
      <w:pPr>
        <w:shd w:val="clear" w:color="auto" w:fill="FFFFFF"/>
        <w:spacing w:after="0" w:line="240" w:lineRule="auto"/>
        <w:ind w:left="708"/>
        <w:jc w:val="center"/>
        <w:rPr>
          <w:rFonts w:ascii="Tahoma" w:eastAsia="Times New Roman" w:hAnsi="Tahoma" w:cs="Tahoma"/>
          <w:b/>
          <w:bCs/>
          <w:color w:val="000000"/>
          <w:sz w:val="16"/>
          <w:szCs w:val="27"/>
          <w:lang w:eastAsia="es-ES"/>
        </w:rPr>
        <w:sectPr w:rsidR="005B5D4F" w:rsidSect="00A76978">
          <w:headerReference w:type="default" r:id="rId13"/>
          <w:footerReference w:type="default" r:id="rId14"/>
          <w:pgSz w:w="11906" w:h="16838"/>
          <w:pgMar w:top="1134" w:right="849" w:bottom="1417" w:left="1276" w:header="708" w:footer="708" w:gutter="0"/>
          <w:cols w:space="708"/>
          <w:docGrid w:linePitch="360"/>
        </w:sectPr>
      </w:pPr>
    </w:p>
    <w:p w:rsidR="005B5D4F" w:rsidRPr="00A76978" w:rsidRDefault="005B5D4F" w:rsidP="005B5D4F">
      <w:pPr>
        <w:shd w:val="clear" w:color="auto" w:fill="FFFFFF"/>
        <w:spacing w:after="0" w:line="240" w:lineRule="auto"/>
        <w:ind w:left="142"/>
        <w:jc w:val="center"/>
        <w:rPr>
          <w:rFonts w:ascii="Tahoma" w:eastAsia="Times New Roman" w:hAnsi="Tahoma" w:cs="Tahoma"/>
          <w:color w:val="000000"/>
          <w:sz w:val="14"/>
          <w:szCs w:val="14"/>
          <w:lang w:eastAsia="es-ES"/>
        </w:rPr>
      </w:pPr>
      <w:r w:rsidRPr="00A76978">
        <w:rPr>
          <w:rFonts w:ascii="Tahoma" w:eastAsia="Times New Roman" w:hAnsi="Tahoma" w:cs="Tahoma"/>
          <w:b/>
          <w:bCs/>
          <w:color w:val="000000"/>
          <w:sz w:val="14"/>
          <w:szCs w:val="14"/>
          <w:lang w:eastAsia="es-ES"/>
        </w:rPr>
        <w:lastRenderedPageBreak/>
        <w:t>Considerando: </w:t>
      </w:r>
      <w:r w:rsidRPr="00A76978">
        <w:rPr>
          <w:rFonts w:ascii="Tahoma" w:eastAsia="Times New Roman" w:hAnsi="Tahoma" w:cs="Tahoma"/>
          <w:b/>
          <w:bCs/>
          <w:color w:val="000000"/>
          <w:sz w:val="14"/>
          <w:szCs w:val="14"/>
          <w:lang w:eastAsia="es-ES"/>
        </w:rPr>
        <w:br/>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shd w:val="clear" w:color="auto" w:fill="FFFFFF"/>
          <w:lang w:eastAsia="es-ES"/>
        </w:rPr>
        <w:t>Que el segundo inciso del artículo 300 de la Constitución de la República prescribe que la política tributaria promoverá la redistribución y estimulará el empleo, la producción de bienes y servicios y conductas ecológicas, sociales y económicas responsables;</w:t>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lang w:eastAsia="es-ES"/>
        </w:rPr>
        <w:br/>
      </w:r>
      <w:r w:rsidRPr="00A76978">
        <w:rPr>
          <w:rFonts w:ascii="Tahoma" w:eastAsia="Times New Roman" w:hAnsi="Tahoma" w:cs="Tahoma"/>
          <w:color w:val="000000"/>
          <w:sz w:val="14"/>
          <w:szCs w:val="14"/>
          <w:shd w:val="clear" w:color="auto" w:fill="FFFFFF"/>
          <w:lang w:eastAsia="es-ES"/>
        </w:rPr>
        <w:t xml:space="preserve">Que en virtud de la letra b) del numeral 2 del artículo 41 de la Ley de Régimen Tributario Interno, el cálculo del anticipo de impuesto a la renta para las personas naturales, las sucesiones indivisas obligadas a llevar contabilidad y las sociedades, consiste en un valor equivalente a la suma matemática </w:t>
      </w:r>
      <w:proofErr w:type="spellStart"/>
      <w:r w:rsidRPr="00A76978">
        <w:rPr>
          <w:rFonts w:ascii="Tahoma" w:eastAsia="Times New Roman" w:hAnsi="Tahoma" w:cs="Tahoma"/>
          <w:color w:val="000000"/>
          <w:sz w:val="14"/>
          <w:szCs w:val="14"/>
          <w:shd w:val="clear" w:color="auto" w:fill="FFFFFF"/>
          <w:lang w:eastAsia="es-ES"/>
        </w:rPr>
        <w:t>de el</w:t>
      </w:r>
      <w:proofErr w:type="spellEnd"/>
      <w:r w:rsidRPr="00A76978">
        <w:rPr>
          <w:rFonts w:ascii="Tahoma" w:eastAsia="Times New Roman" w:hAnsi="Tahoma" w:cs="Tahoma"/>
          <w:color w:val="000000"/>
          <w:sz w:val="14"/>
          <w:szCs w:val="14"/>
          <w:shd w:val="clear" w:color="auto" w:fill="FFFFFF"/>
          <w:lang w:eastAsia="es-ES"/>
        </w:rPr>
        <w:t xml:space="preserve"> cero punto dos por ciento (0.2%) del patrimonio total, más el cero punto dos por ciento (0.2%) del total de costos y gastos deducibles a efecto del impuesto a la renta, más el cero punto cuatro por ciento (0.4%) del activo total, más el cero punto cuatro por ciento (0.4%) del total de ingresos gravables a efecto del impuesto a la renta;</w:t>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lang w:eastAsia="es-ES"/>
        </w:rPr>
        <w:br/>
      </w:r>
      <w:r w:rsidRPr="00A76978">
        <w:rPr>
          <w:rFonts w:ascii="Tahoma" w:eastAsia="Times New Roman" w:hAnsi="Tahoma" w:cs="Tahoma"/>
          <w:color w:val="000000"/>
          <w:sz w:val="14"/>
          <w:szCs w:val="14"/>
          <w:shd w:val="clear" w:color="auto" w:fill="FFFFFF"/>
          <w:lang w:eastAsia="es-ES"/>
        </w:rPr>
        <w:t>Que el cuarto inciso de la letra i) del numeral 2 del Art. 41 ibídem establece que " En casos excepcionales debidamente justificados en que sectores o subsectores de la economía hayan sufrido una drástica disminución de sus ingresos por causas no previsibles, a petición fundamentada del Ministerio de ramo y con informe sobre el impacto fiscal del Director General del Servicio de Rentas Internas, el Presidente de la República, mediante decreto, podrá reducir o exonerar el valor del anticipo establecido al correspondiente sector o subsector. La reducción o exoneración del pago del anticipo podrá ser autorizado solo por un ejercicio fiscal a la vez";</w:t>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lang w:eastAsia="es-ES"/>
        </w:rPr>
        <w:br/>
      </w:r>
      <w:r w:rsidRPr="00A76978">
        <w:rPr>
          <w:rFonts w:ascii="Tahoma" w:eastAsia="Times New Roman" w:hAnsi="Tahoma" w:cs="Tahoma"/>
          <w:color w:val="000000"/>
          <w:sz w:val="14"/>
          <w:szCs w:val="14"/>
          <w:shd w:val="clear" w:color="auto" w:fill="FFFFFF"/>
          <w:lang w:eastAsia="es-ES"/>
        </w:rPr>
        <w:t xml:space="preserve">Que a petición debidamente fundamentada del Ministerio de Agricultura, </w:t>
      </w:r>
      <w:r w:rsidRPr="00A76978">
        <w:rPr>
          <w:rFonts w:ascii="Tahoma" w:eastAsia="Times New Roman" w:hAnsi="Tahoma" w:cs="Tahoma"/>
          <w:color w:val="000000"/>
          <w:sz w:val="14"/>
          <w:szCs w:val="14"/>
          <w:shd w:val="clear" w:color="auto" w:fill="FFFFFF"/>
          <w:lang w:eastAsia="es-ES"/>
        </w:rPr>
        <w:lastRenderedPageBreak/>
        <w:t xml:space="preserve">Ganadería, Acuacultura y Pesa, remitida mediante oficio Nro. MAGAP-M.A.G.A.P-2015-1009-OF del 30 de octubre de 2015, en atención al informe de impacto fiscal elaborado por el Servicio de Rentas Internas, que consta en el Oficio No. 917012015357187, de 2 de diciembre de 2015, se ha considerado pertinente conceder la exoneración del valor del pago del anticipo al impuesto a la renta, para el ejercicio fiscal 2015, al sector cacaotero nacional, por cuanto por efectos del clima se ha visto considerablemente afectado este año por el ataque del hongo </w:t>
      </w:r>
      <w:proofErr w:type="spellStart"/>
      <w:r w:rsidRPr="00A76978">
        <w:rPr>
          <w:rFonts w:ascii="Tahoma" w:eastAsia="Times New Roman" w:hAnsi="Tahoma" w:cs="Tahoma"/>
          <w:color w:val="000000"/>
          <w:sz w:val="14"/>
          <w:szCs w:val="14"/>
          <w:shd w:val="clear" w:color="auto" w:fill="FFFFFF"/>
          <w:lang w:eastAsia="es-ES"/>
        </w:rPr>
        <w:t>Moniliophthora</w:t>
      </w:r>
      <w:proofErr w:type="spellEnd"/>
      <w:r w:rsidRPr="00A76978">
        <w:rPr>
          <w:rFonts w:ascii="Tahoma" w:eastAsia="Times New Roman" w:hAnsi="Tahoma" w:cs="Tahoma"/>
          <w:color w:val="000000"/>
          <w:sz w:val="14"/>
          <w:szCs w:val="14"/>
          <w:shd w:val="clear" w:color="auto" w:fill="FFFFFF"/>
          <w:lang w:eastAsia="es-ES"/>
        </w:rPr>
        <w:t xml:space="preserve"> </w:t>
      </w:r>
      <w:proofErr w:type="spellStart"/>
      <w:r w:rsidRPr="00A76978">
        <w:rPr>
          <w:rFonts w:ascii="Tahoma" w:eastAsia="Times New Roman" w:hAnsi="Tahoma" w:cs="Tahoma"/>
          <w:color w:val="000000"/>
          <w:sz w:val="14"/>
          <w:szCs w:val="14"/>
          <w:shd w:val="clear" w:color="auto" w:fill="FFFFFF"/>
          <w:lang w:eastAsia="es-ES"/>
        </w:rPr>
        <w:t>roreri</w:t>
      </w:r>
      <w:proofErr w:type="spellEnd"/>
      <w:r w:rsidRPr="00A76978">
        <w:rPr>
          <w:rFonts w:ascii="Tahoma" w:eastAsia="Times New Roman" w:hAnsi="Tahoma" w:cs="Tahoma"/>
          <w:color w:val="000000"/>
          <w:sz w:val="14"/>
          <w:szCs w:val="14"/>
          <w:shd w:val="clear" w:color="auto" w:fill="FFFFFF"/>
          <w:lang w:eastAsia="es-ES"/>
        </w:rPr>
        <w:t xml:space="preserve"> (monilla), el cual ha ocasionado un impacto en el 39% de la superficie total de cultivos, y podría afectar los ingresos de la cadena en un 50%;</w:t>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lang w:eastAsia="es-ES"/>
        </w:rPr>
        <w:br/>
      </w:r>
      <w:r w:rsidRPr="00A76978">
        <w:rPr>
          <w:rFonts w:ascii="Tahoma" w:eastAsia="Times New Roman" w:hAnsi="Tahoma" w:cs="Tahoma"/>
          <w:color w:val="000000"/>
          <w:sz w:val="14"/>
          <w:szCs w:val="14"/>
          <w:shd w:val="clear" w:color="auto" w:fill="FFFFFF"/>
          <w:lang w:eastAsia="es-ES"/>
        </w:rPr>
        <w:t>En ejercicio de las facultades que le confieren los Artículos 41 literal i) del numeral 2, de la Ley de Régimen Tributario Interno y 11, literal f), del Estatuto del Régimen Jurídico y Administrativo de la Función Ejecutiva.</w:t>
      </w:r>
    </w:p>
    <w:p w:rsidR="005B5D4F" w:rsidRPr="00A76978" w:rsidRDefault="005B5D4F" w:rsidP="005B5D4F">
      <w:pPr>
        <w:spacing w:after="0" w:line="240" w:lineRule="auto"/>
        <w:ind w:left="142"/>
        <w:jc w:val="both"/>
        <w:rPr>
          <w:rFonts w:ascii="Tahoma" w:eastAsia="Times New Roman" w:hAnsi="Tahoma" w:cs="Tahoma"/>
          <w:sz w:val="14"/>
          <w:szCs w:val="14"/>
          <w:lang w:eastAsia="es-ES"/>
        </w:rPr>
      </w:pPr>
    </w:p>
    <w:p w:rsidR="005B5D4F" w:rsidRPr="00A76978" w:rsidRDefault="005B5D4F" w:rsidP="005B5D4F">
      <w:pPr>
        <w:shd w:val="clear" w:color="auto" w:fill="FFFFFF"/>
        <w:spacing w:after="0" w:line="240" w:lineRule="auto"/>
        <w:ind w:left="142"/>
        <w:jc w:val="center"/>
        <w:rPr>
          <w:rFonts w:ascii="Tahoma" w:eastAsia="Times New Roman" w:hAnsi="Tahoma" w:cs="Tahoma"/>
          <w:color w:val="000000"/>
          <w:sz w:val="14"/>
          <w:szCs w:val="14"/>
          <w:lang w:eastAsia="es-ES"/>
        </w:rPr>
      </w:pPr>
      <w:r w:rsidRPr="00A76978">
        <w:rPr>
          <w:rFonts w:ascii="Tahoma" w:eastAsia="Times New Roman" w:hAnsi="Tahoma" w:cs="Tahoma"/>
          <w:b/>
          <w:bCs/>
          <w:color w:val="000000"/>
          <w:sz w:val="14"/>
          <w:szCs w:val="14"/>
          <w:lang w:eastAsia="es-ES"/>
        </w:rPr>
        <w:t>Decreta:</w:t>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lang w:eastAsia="es-ES"/>
        </w:rPr>
        <w:br/>
      </w:r>
      <w:r w:rsidRPr="00A76978">
        <w:rPr>
          <w:rFonts w:ascii="Tahoma" w:eastAsia="Times New Roman" w:hAnsi="Tahoma" w:cs="Tahoma"/>
          <w:b/>
          <w:bCs/>
          <w:color w:val="000000"/>
          <w:sz w:val="14"/>
          <w:szCs w:val="14"/>
          <w:shd w:val="clear" w:color="auto" w:fill="FFFFFF"/>
          <w:lang w:eastAsia="es-ES"/>
        </w:rPr>
        <w:t>Artículo 1.- </w:t>
      </w:r>
      <w:r w:rsidRPr="00A76978">
        <w:rPr>
          <w:rFonts w:ascii="Tahoma" w:eastAsia="Times New Roman" w:hAnsi="Tahoma" w:cs="Tahoma"/>
          <w:color w:val="000000"/>
          <w:sz w:val="14"/>
          <w:szCs w:val="14"/>
          <w:shd w:val="clear" w:color="auto" w:fill="FFFFFF"/>
          <w:lang w:eastAsia="es-ES"/>
        </w:rPr>
        <w:t>Exonerar del pago del cien por ciento (100%) del valor del anticipo al impuesto a la renta del período fiscal 2015 a los contribuyentes registrados ante el SRI, con CIIU de Código de Actividad Económica Nivel 6 No. A012702, correspondiente a Cultivo de Cacao y a exportadores dedicados exclusivamente a la comercialización de cacao en grano.</w:t>
      </w:r>
    </w:p>
    <w:p w:rsidR="005B5D4F" w:rsidRPr="00A76978" w:rsidRDefault="005B5D4F" w:rsidP="005B5D4F">
      <w:pPr>
        <w:spacing w:after="0" w:line="240" w:lineRule="auto"/>
        <w:ind w:left="142"/>
        <w:jc w:val="both"/>
        <w:rPr>
          <w:rFonts w:ascii="Tahoma" w:eastAsia="Times New Roman" w:hAnsi="Tahoma" w:cs="Tahoma"/>
          <w:color w:val="000000"/>
          <w:sz w:val="14"/>
          <w:szCs w:val="14"/>
          <w:shd w:val="clear" w:color="auto" w:fill="FFFFFF"/>
          <w:lang w:eastAsia="es-ES"/>
        </w:rPr>
      </w:pPr>
      <w:r w:rsidRPr="00A76978">
        <w:rPr>
          <w:rFonts w:ascii="Tahoma" w:eastAsia="Times New Roman" w:hAnsi="Tahoma" w:cs="Tahoma"/>
          <w:color w:val="000000"/>
          <w:sz w:val="14"/>
          <w:szCs w:val="14"/>
          <w:lang w:eastAsia="es-ES"/>
        </w:rPr>
        <w:br/>
      </w:r>
      <w:r w:rsidRPr="00A76978">
        <w:rPr>
          <w:rFonts w:ascii="Tahoma" w:eastAsia="Times New Roman" w:hAnsi="Tahoma" w:cs="Tahoma"/>
          <w:b/>
          <w:bCs/>
          <w:color w:val="000000"/>
          <w:sz w:val="14"/>
          <w:szCs w:val="14"/>
          <w:shd w:val="clear" w:color="auto" w:fill="FFFFFF"/>
          <w:lang w:eastAsia="es-ES"/>
        </w:rPr>
        <w:t>Artículo 2.- </w:t>
      </w:r>
      <w:r w:rsidRPr="00A76978">
        <w:rPr>
          <w:rFonts w:ascii="Tahoma" w:eastAsia="Times New Roman" w:hAnsi="Tahoma" w:cs="Tahoma"/>
          <w:color w:val="000000"/>
          <w:sz w:val="14"/>
          <w:szCs w:val="14"/>
          <w:shd w:val="clear" w:color="auto" w:fill="FFFFFF"/>
          <w:lang w:eastAsia="es-ES"/>
        </w:rPr>
        <w:t>De la ejecución del presente Decreto Ejecutivo, que entrará en vigencia a partir de su publicación en el Registro Oficial, encárguese al Servicio de Rentas Internas, dentro del ámbito de sus competencias.</w:t>
      </w:r>
    </w:p>
    <w:p w:rsidR="005B5D4F" w:rsidRDefault="005B5D4F" w:rsidP="005B5D4F">
      <w:pPr>
        <w:shd w:val="clear" w:color="auto" w:fill="FFFFFF"/>
        <w:spacing w:after="0" w:line="240" w:lineRule="auto"/>
        <w:ind w:left="708"/>
        <w:jc w:val="center"/>
        <w:rPr>
          <w:rFonts w:ascii="Tahoma" w:eastAsia="Times New Roman" w:hAnsi="Tahoma" w:cs="Tahoma"/>
          <w:b/>
          <w:bCs/>
          <w:color w:val="000000"/>
          <w:sz w:val="16"/>
          <w:szCs w:val="16"/>
          <w:lang w:eastAsia="es-ES"/>
        </w:rPr>
      </w:pPr>
    </w:p>
    <w:p w:rsidR="00A75150" w:rsidRDefault="00A75150" w:rsidP="005B5D4F">
      <w:pPr>
        <w:shd w:val="clear" w:color="auto" w:fill="FFFFFF"/>
        <w:spacing w:after="0" w:line="240" w:lineRule="auto"/>
        <w:ind w:left="708"/>
        <w:jc w:val="center"/>
        <w:rPr>
          <w:rFonts w:ascii="Tahoma" w:eastAsia="Times New Roman" w:hAnsi="Tahoma" w:cs="Tahoma"/>
          <w:b/>
          <w:bCs/>
          <w:color w:val="000000"/>
          <w:sz w:val="16"/>
          <w:szCs w:val="16"/>
          <w:lang w:eastAsia="es-ES"/>
        </w:rPr>
        <w:sectPr w:rsidR="00A75150" w:rsidSect="00A76978">
          <w:type w:val="continuous"/>
          <w:pgSz w:w="11906" w:h="16838"/>
          <w:pgMar w:top="1417" w:right="849" w:bottom="993" w:left="1276" w:header="708" w:footer="708" w:gutter="0"/>
          <w:cols w:num="2" w:space="282"/>
          <w:docGrid w:linePitch="360"/>
        </w:sectPr>
      </w:pPr>
    </w:p>
    <w:p w:rsidR="005B5D4F" w:rsidRDefault="005B5D4F" w:rsidP="005B5D4F">
      <w:pPr>
        <w:shd w:val="clear" w:color="auto" w:fill="FFFFFF"/>
        <w:spacing w:after="0" w:line="240" w:lineRule="auto"/>
        <w:ind w:left="708"/>
        <w:jc w:val="center"/>
        <w:rPr>
          <w:rFonts w:ascii="Tahoma" w:eastAsia="Times New Roman" w:hAnsi="Tahoma" w:cs="Tahoma"/>
          <w:b/>
          <w:bCs/>
          <w:color w:val="000000"/>
          <w:sz w:val="16"/>
          <w:szCs w:val="16"/>
          <w:lang w:eastAsia="es-ES"/>
        </w:rPr>
      </w:pPr>
    </w:p>
    <w:p w:rsidR="00047711" w:rsidRDefault="004C4C63" w:rsidP="005B5D4F">
      <w:pPr>
        <w:spacing w:after="0" w:line="240" w:lineRule="auto"/>
        <w:rPr>
          <w:rFonts w:ascii="Tahoma" w:eastAsia="Times New Roman" w:hAnsi="Tahoma" w:cs="Tahoma"/>
          <w:b/>
          <w:bCs/>
          <w:color w:val="FFFFFF" w:themeColor="background1"/>
          <w:sz w:val="24"/>
          <w:szCs w:val="16"/>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58751" behindDoc="1" locked="0" layoutInCell="1" allowOverlap="1" wp14:anchorId="42DECCCE" wp14:editId="7863CD1B">
                <wp:simplePos x="0" y="0"/>
                <wp:positionH relativeFrom="column">
                  <wp:posOffset>-834114</wp:posOffset>
                </wp:positionH>
                <wp:positionV relativeFrom="paragraph">
                  <wp:posOffset>142406</wp:posOffset>
                </wp:positionV>
                <wp:extent cx="7013051" cy="285750"/>
                <wp:effectExtent l="57150" t="19050" r="73660" b="95250"/>
                <wp:wrapNone/>
                <wp:docPr id="6" name="Rounded Rectangle 6"/>
                <wp:cNvGraphicFramePr/>
                <a:graphic xmlns:a="http://schemas.openxmlformats.org/drawingml/2006/main">
                  <a:graphicData uri="http://schemas.microsoft.com/office/word/2010/wordprocessingShape">
                    <wps:wsp>
                      <wps:cNvSpPr/>
                      <wps:spPr>
                        <a:xfrm>
                          <a:off x="0" y="0"/>
                          <a:ext cx="7013051" cy="28575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6" o:spid="_x0000_s1026" style="position:absolute;margin-left:-65.7pt;margin-top:11.2pt;width:552.2pt;height:22.5pt;z-index:-25165772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3D737D" w:rsidRPr="005B5D4F" w:rsidRDefault="003D737D" w:rsidP="005B5D4F">
      <w:pPr>
        <w:spacing w:after="0" w:line="240" w:lineRule="auto"/>
        <w:rPr>
          <w:rFonts w:ascii="Tahoma" w:eastAsia="Times New Roman" w:hAnsi="Tahoma" w:cs="Tahoma"/>
          <w:b/>
          <w:bCs/>
          <w:color w:val="FFFFFF" w:themeColor="background1"/>
          <w:sz w:val="24"/>
          <w:szCs w:val="16"/>
          <w:lang w:eastAsia="es-ES"/>
        </w:rPr>
      </w:pPr>
      <w:r w:rsidRPr="005B5D4F">
        <w:rPr>
          <w:rFonts w:ascii="Tahoma" w:eastAsia="Times New Roman" w:hAnsi="Tahoma" w:cs="Tahoma"/>
          <w:b/>
          <w:bCs/>
          <w:color w:val="FFFFFF" w:themeColor="background1"/>
          <w:sz w:val="24"/>
          <w:szCs w:val="16"/>
          <w:lang w:eastAsia="es-ES"/>
        </w:rPr>
        <w:t>MINISTERIO DEL TRABAJO: </w:t>
      </w:r>
    </w:p>
    <w:p w:rsidR="003D737D" w:rsidRDefault="00E262EE" w:rsidP="00634277">
      <w:pPr>
        <w:spacing w:after="0" w:line="240" w:lineRule="auto"/>
        <w:rPr>
          <w:rFonts w:ascii="Tahoma" w:hAnsi="Tahoma" w:cs="Tahoma"/>
          <w:sz w:val="16"/>
          <w:szCs w:val="16"/>
        </w:rPr>
      </w:pPr>
      <w:r>
        <w:rPr>
          <w:noProof/>
          <w:lang w:val="es-EC" w:eastAsia="es-EC"/>
        </w:rPr>
        <w:drawing>
          <wp:anchor distT="0" distB="0" distL="114300" distR="114300" simplePos="0" relativeHeight="251656189" behindDoc="1" locked="0" layoutInCell="1" allowOverlap="1" wp14:anchorId="0BB2A8A5" wp14:editId="5FFC84ED">
            <wp:simplePos x="0" y="0"/>
            <wp:positionH relativeFrom="column">
              <wp:posOffset>285115</wp:posOffset>
            </wp:positionH>
            <wp:positionV relativeFrom="paragraph">
              <wp:posOffset>92075</wp:posOffset>
            </wp:positionV>
            <wp:extent cx="5295900" cy="1708785"/>
            <wp:effectExtent l="0" t="0" r="0" b="5715"/>
            <wp:wrapTight wrapText="bothSides">
              <wp:wrapPolygon edited="0">
                <wp:start x="0" y="0"/>
                <wp:lineTo x="0" y="21431"/>
                <wp:lineTo x="21522" y="21431"/>
                <wp:lineTo x="21522" y="0"/>
                <wp:lineTo x="0" y="0"/>
              </wp:wrapPolygon>
            </wp:wrapTight>
            <wp:docPr id="4" name="Picture 4" descr="http://www.cnmmt.mx/images/slid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cnmmt.mx/images/slide3.png"/>
                    <pic:cNvPicPr>
                      <a:picLocks noChangeAspect="1" noChangeArrowheads="1"/>
                    </pic:cNvPicPr>
                  </pic:nvPicPr>
                  <pic:blipFill rotWithShape="1">
                    <a:blip r:embed="rId15">
                      <a:extLst>
                        <a:ext uri="{28A0092B-C50C-407E-A947-70E740481C1C}">
                          <a14:useLocalDpi xmlns:a14="http://schemas.microsoft.com/office/drawing/2010/main" val="0"/>
                        </a:ext>
                      </a:extLst>
                    </a:blip>
                    <a:srcRect t="14550" b="4761"/>
                    <a:stretch/>
                  </pic:blipFill>
                  <pic:spPr bwMode="auto">
                    <a:xfrm>
                      <a:off x="0" y="0"/>
                      <a:ext cx="5295900" cy="1708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5B5D4F" w:rsidRDefault="005B5D4F" w:rsidP="00634277">
      <w:pPr>
        <w:spacing w:after="0" w:line="240" w:lineRule="auto"/>
        <w:rPr>
          <w:rFonts w:ascii="Tahoma" w:hAnsi="Tahoma" w:cs="Tahoma"/>
          <w:sz w:val="16"/>
          <w:szCs w:val="16"/>
        </w:rPr>
      </w:pPr>
    </w:p>
    <w:p w:rsidR="00EE2CFE" w:rsidRDefault="00EE2CFE" w:rsidP="003D737D">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lastRenderedPageBreak/>
        <w:t xml:space="preserve">Suplemento </w:t>
      </w:r>
      <w:r w:rsid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672,</w:t>
      </w:r>
      <w:r w:rsidR="00275878"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Martes 19 de Enero de 2016</w:t>
      </w:r>
    </w:p>
    <w:p w:rsidR="005B5D4F" w:rsidRPr="007D58A7" w:rsidRDefault="005B5D4F" w:rsidP="005B5D4F">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18394A" w:rsidRPr="0018394A" w:rsidRDefault="003D737D" w:rsidP="003D737D">
      <w:pPr>
        <w:pStyle w:val="Prrafodelista"/>
        <w:numPr>
          <w:ilvl w:val="0"/>
          <w:numId w:val="2"/>
        </w:numPr>
        <w:shd w:val="clear" w:color="auto" w:fill="FFFFFF"/>
        <w:spacing w:after="0" w:line="240" w:lineRule="auto"/>
        <w:jc w:val="both"/>
        <w:rPr>
          <w:rFonts w:ascii="Tahoma" w:eastAsia="Times New Roman" w:hAnsi="Tahoma" w:cs="Tahoma"/>
          <w:sz w:val="18"/>
          <w:szCs w:val="24"/>
          <w:lang w:eastAsia="es-ES"/>
        </w:rPr>
      </w:pPr>
      <w:r w:rsidRPr="0018394A">
        <w:rPr>
          <w:rFonts w:ascii="Tahoma" w:eastAsia="Times New Roman" w:hAnsi="Tahoma" w:cs="Tahoma"/>
          <w:b/>
          <w:color w:val="0070C0"/>
          <w:sz w:val="18"/>
          <w:szCs w:val="16"/>
          <w:shd w:val="clear" w:color="auto" w:fill="FFFFFF"/>
          <w:lang w:eastAsia="es-ES"/>
        </w:rPr>
        <w:t xml:space="preserve">Acuerdo </w:t>
      </w:r>
      <w:hyperlink r:id="rId16" w:history="1">
        <w:r w:rsidR="00EE2CFE" w:rsidRPr="0018394A">
          <w:rPr>
            <w:rFonts w:ascii="Tahoma" w:eastAsia="Times New Roman" w:hAnsi="Tahoma" w:cs="Tahoma"/>
            <w:b/>
            <w:color w:val="0070C0"/>
            <w:sz w:val="18"/>
            <w:szCs w:val="16"/>
            <w:shd w:val="clear" w:color="auto" w:fill="FFFFFF"/>
            <w:lang w:eastAsia="es-ES"/>
          </w:rPr>
          <w:t>MDT-2016-0002</w:t>
        </w:r>
      </w:hyperlink>
      <w:r w:rsidR="00EE2CFE" w:rsidRPr="0018394A">
        <w:rPr>
          <w:rFonts w:ascii="Tahoma" w:eastAsia="Times New Roman" w:hAnsi="Tahoma" w:cs="Tahoma"/>
          <w:color w:val="0070C0"/>
          <w:sz w:val="20"/>
          <w:szCs w:val="27"/>
          <w:shd w:val="clear" w:color="auto" w:fill="FFFFFF"/>
          <w:lang w:eastAsia="es-ES"/>
        </w:rPr>
        <w:t>:</w:t>
      </w:r>
      <w:r w:rsidR="00EE2CFE" w:rsidRPr="0018394A">
        <w:rPr>
          <w:rFonts w:ascii="Tahoma" w:eastAsia="Times New Roman" w:hAnsi="Tahoma" w:cs="Tahoma"/>
          <w:color w:val="000000"/>
          <w:sz w:val="20"/>
          <w:szCs w:val="27"/>
          <w:shd w:val="clear" w:color="auto" w:fill="FFFFFF"/>
          <w:lang w:eastAsia="es-ES"/>
        </w:rPr>
        <w:t xml:space="preserve"> </w:t>
      </w:r>
      <w:r w:rsidR="00EE2CFE" w:rsidRPr="0018394A">
        <w:rPr>
          <w:rFonts w:ascii="Tahoma" w:eastAsia="Times New Roman" w:hAnsi="Tahoma" w:cs="Tahoma"/>
          <w:color w:val="000000"/>
          <w:sz w:val="18"/>
          <w:szCs w:val="16"/>
          <w:shd w:val="clear" w:color="auto" w:fill="FFFFFF"/>
          <w:lang w:eastAsia="es-ES"/>
        </w:rPr>
        <w:t>Refórmense las normas que regulan el contrato por obra o servicio determinado dentro del giro del negocio, expedidas mediante Acuerdo Ministerial No. MDT-2015-0242</w:t>
      </w:r>
      <w:r w:rsidR="0018394A" w:rsidRPr="0018394A">
        <w:rPr>
          <w:rFonts w:ascii="Tahoma" w:eastAsia="Times New Roman" w:hAnsi="Tahoma" w:cs="Tahoma"/>
          <w:color w:val="000000"/>
          <w:sz w:val="18"/>
          <w:szCs w:val="16"/>
          <w:shd w:val="clear" w:color="auto" w:fill="FFFFFF"/>
          <w:lang w:eastAsia="es-ES"/>
        </w:rPr>
        <w:t>.</w:t>
      </w:r>
    </w:p>
    <w:p w:rsidR="00EE2CFE" w:rsidRPr="003D737D" w:rsidRDefault="00EE2CFE" w:rsidP="0018394A">
      <w:pPr>
        <w:pStyle w:val="Prrafodelista"/>
        <w:shd w:val="clear" w:color="auto" w:fill="FFFFFF"/>
        <w:spacing w:after="0" w:line="240" w:lineRule="auto"/>
        <w:jc w:val="both"/>
        <w:rPr>
          <w:rFonts w:ascii="Tahoma" w:eastAsia="Times New Roman" w:hAnsi="Tahoma" w:cs="Tahoma"/>
          <w:sz w:val="16"/>
          <w:szCs w:val="24"/>
          <w:lang w:eastAsia="es-ES"/>
        </w:rPr>
      </w:pPr>
    </w:p>
    <w:p w:rsidR="004038C7" w:rsidRPr="00634277" w:rsidRDefault="004038C7" w:rsidP="00634277">
      <w:pPr>
        <w:spacing w:after="0" w:line="240" w:lineRule="auto"/>
        <w:rPr>
          <w:rFonts w:ascii="Tahoma" w:eastAsia="Times New Roman" w:hAnsi="Tahoma" w:cs="Tahoma"/>
          <w:sz w:val="16"/>
          <w:szCs w:val="16"/>
          <w:lang w:eastAsia="es-ES"/>
        </w:rPr>
      </w:pPr>
    </w:p>
    <w:p w:rsidR="005B5D4F" w:rsidRDefault="005B5D4F" w:rsidP="005B5D4F">
      <w:pPr>
        <w:shd w:val="clear" w:color="auto" w:fill="FFFFFF"/>
        <w:spacing w:after="0" w:line="240" w:lineRule="auto"/>
        <w:ind w:left="360"/>
        <w:jc w:val="center"/>
        <w:rPr>
          <w:rFonts w:ascii="Tahoma" w:eastAsia="Times New Roman" w:hAnsi="Tahoma" w:cs="Tahoma"/>
          <w:b/>
          <w:bCs/>
          <w:color w:val="000000"/>
          <w:sz w:val="16"/>
          <w:szCs w:val="16"/>
          <w:lang w:eastAsia="es-ES"/>
        </w:rPr>
        <w:sectPr w:rsidR="005B5D4F" w:rsidSect="00A76978">
          <w:type w:val="continuous"/>
          <w:pgSz w:w="11906" w:h="16838"/>
          <w:pgMar w:top="955" w:right="849" w:bottom="851" w:left="1276" w:header="568" w:footer="708" w:gutter="0"/>
          <w:cols w:space="708"/>
          <w:docGrid w:linePitch="360"/>
        </w:sectPr>
      </w:pPr>
    </w:p>
    <w:p w:rsidR="004038C7" w:rsidRPr="00153EF0" w:rsidRDefault="004038C7" w:rsidP="005B5D4F">
      <w:pPr>
        <w:shd w:val="clear" w:color="auto" w:fill="FFFFFF"/>
        <w:spacing w:after="0" w:line="240" w:lineRule="auto"/>
        <w:ind w:left="142"/>
        <w:jc w:val="center"/>
        <w:rPr>
          <w:rFonts w:ascii="Tahoma" w:eastAsia="Times New Roman" w:hAnsi="Tahoma" w:cs="Tahoma"/>
          <w:b/>
          <w:bCs/>
          <w:color w:val="000000"/>
          <w:sz w:val="14"/>
          <w:szCs w:val="14"/>
          <w:lang w:eastAsia="es-ES"/>
        </w:rPr>
      </w:pPr>
      <w:r w:rsidRPr="00153EF0">
        <w:rPr>
          <w:rFonts w:ascii="Tahoma" w:eastAsia="Times New Roman" w:hAnsi="Tahoma" w:cs="Tahoma"/>
          <w:b/>
          <w:bCs/>
          <w:color w:val="000000"/>
          <w:sz w:val="14"/>
          <w:szCs w:val="14"/>
          <w:lang w:eastAsia="es-ES"/>
        </w:rPr>
        <w:lastRenderedPageBreak/>
        <w:t>Acuerda:</w:t>
      </w: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lang w:eastAsia="es-ES"/>
        </w:rPr>
        <w:t>REFORMAR LAS NORMAS QUE REGULAN</w:t>
      </w:r>
      <w:r w:rsidRPr="00153EF0">
        <w:rPr>
          <w:rFonts w:ascii="Tahoma" w:eastAsia="Times New Roman" w:hAnsi="Tahoma" w:cs="Tahoma"/>
          <w:color w:val="000000"/>
          <w:sz w:val="14"/>
          <w:szCs w:val="14"/>
          <w:lang w:eastAsia="es-ES"/>
        </w:rPr>
        <w:t> </w:t>
      </w:r>
      <w:r w:rsidRPr="00153EF0">
        <w:rPr>
          <w:rFonts w:ascii="Tahoma" w:eastAsia="Times New Roman" w:hAnsi="Tahoma" w:cs="Tahoma"/>
          <w:b/>
          <w:bCs/>
          <w:color w:val="000000"/>
          <w:sz w:val="14"/>
          <w:szCs w:val="14"/>
          <w:lang w:eastAsia="es-ES"/>
        </w:rPr>
        <w:t>EL CONTRATO POR OBRA O SERVICIO</w:t>
      </w:r>
      <w:r w:rsidRPr="00153EF0">
        <w:rPr>
          <w:rFonts w:ascii="Tahoma" w:eastAsia="Times New Roman" w:hAnsi="Tahoma" w:cs="Tahoma"/>
          <w:color w:val="000000"/>
          <w:sz w:val="14"/>
          <w:szCs w:val="14"/>
          <w:lang w:eastAsia="es-ES"/>
        </w:rPr>
        <w:t> </w:t>
      </w:r>
      <w:r w:rsidRPr="00153EF0">
        <w:rPr>
          <w:rFonts w:ascii="Tahoma" w:eastAsia="Times New Roman" w:hAnsi="Tahoma" w:cs="Tahoma"/>
          <w:b/>
          <w:bCs/>
          <w:color w:val="000000"/>
          <w:sz w:val="14"/>
          <w:szCs w:val="14"/>
          <w:lang w:eastAsia="es-ES"/>
        </w:rPr>
        <w:t>DETERMINADO DENTRO DEL GIRO DEL</w:t>
      </w:r>
      <w:r w:rsidRPr="00153EF0">
        <w:rPr>
          <w:rFonts w:ascii="Tahoma" w:eastAsia="Times New Roman" w:hAnsi="Tahoma" w:cs="Tahoma"/>
          <w:color w:val="000000"/>
          <w:sz w:val="14"/>
          <w:szCs w:val="14"/>
          <w:lang w:eastAsia="es-ES"/>
        </w:rPr>
        <w:t> </w:t>
      </w:r>
      <w:r w:rsidRPr="00153EF0">
        <w:rPr>
          <w:rFonts w:ascii="Tahoma" w:eastAsia="Times New Roman" w:hAnsi="Tahoma" w:cs="Tahoma"/>
          <w:b/>
          <w:bCs/>
          <w:color w:val="000000"/>
          <w:sz w:val="14"/>
          <w:szCs w:val="14"/>
          <w:lang w:eastAsia="es-ES"/>
        </w:rPr>
        <w:t>NEGOCIO, EXPEDIDAS MEDIANTE ACUERDO</w:t>
      </w:r>
      <w:r w:rsidRPr="00153EF0">
        <w:rPr>
          <w:rFonts w:ascii="Tahoma" w:eastAsia="Times New Roman" w:hAnsi="Tahoma" w:cs="Tahoma"/>
          <w:color w:val="000000"/>
          <w:sz w:val="14"/>
          <w:szCs w:val="14"/>
          <w:lang w:eastAsia="es-ES"/>
        </w:rPr>
        <w:t> </w:t>
      </w:r>
      <w:r w:rsidRPr="00153EF0">
        <w:rPr>
          <w:rFonts w:ascii="Tahoma" w:eastAsia="Times New Roman" w:hAnsi="Tahoma" w:cs="Tahoma"/>
          <w:b/>
          <w:bCs/>
          <w:color w:val="000000"/>
          <w:sz w:val="14"/>
          <w:szCs w:val="14"/>
          <w:lang w:eastAsia="es-ES"/>
        </w:rPr>
        <w:t>MINISTERIAL No. MDT-2015-0242 </w:t>
      </w:r>
    </w:p>
    <w:p w:rsidR="00275878" w:rsidRPr="00153EF0" w:rsidRDefault="004038C7" w:rsidP="005B5D4F">
      <w:pPr>
        <w:spacing w:after="0" w:line="240" w:lineRule="auto"/>
        <w:ind w:left="142"/>
        <w:jc w:val="both"/>
        <w:rPr>
          <w:rFonts w:ascii="Tahoma" w:eastAsia="Times New Roman" w:hAnsi="Tahoma" w:cs="Tahoma"/>
          <w:b/>
          <w:i/>
          <w:i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 1.- </w:t>
      </w:r>
      <w:r w:rsidRPr="00153EF0">
        <w:rPr>
          <w:rFonts w:ascii="Tahoma" w:eastAsia="Times New Roman" w:hAnsi="Tahoma" w:cs="Tahoma"/>
          <w:color w:val="000000"/>
          <w:sz w:val="14"/>
          <w:szCs w:val="14"/>
          <w:shd w:val="clear" w:color="auto" w:fill="FFFFFF"/>
          <w:lang w:eastAsia="es-ES"/>
        </w:rPr>
        <w:t xml:space="preserve">En el Artículo 1, al final del texto suprímase el signo de punto final y </w:t>
      </w:r>
      <w:proofErr w:type="spellStart"/>
      <w:r w:rsidRPr="00153EF0">
        <w:rPr>
          <w:rFonts w:ascii="Tahoma" w:eastAsia="Times New Roman" w:hAnsi="Tahoma" w:cs="Tahoma"/>
          <w:color w:val="000000"/>
          <w:sz w:val="14"/>
          <w:szCs w:val="14"/>
          <w:shd w:val="clear" w:color="auto" w:fill="FFFFFF"/>
          <w:lang w:eastAsia="es-ES"/>
        </w:rPr>
        <w:t>agregúese</w:t>
      </w:r>
      <w:proofErr w:type="spellEnd"/>
      <w:r w:rsidRPr="00153EF0">
        <w:rPr>
          <w:rFonts w:ascii="Tahoma" w:eastAsia="Times New Roman" w:hAnsi="Tahoma" w:cs="Tahoma"/>
          <w:color w:val="000000"/>
          <w:sz w:val="14"/>
          <w:szCs w:val="14"/>
          <w:shd w:val="clear" w:color="auto" w:fill="FFFFFF"/>
          <w:lang w:eastAsia="es-ES"/>
        </w:rPr>
        <w:t xml:space="preserve"> la siguiente frase: </w:t>
      </w:r>
      <w:r w:rsidRPr="00153EF0">
        <w:rPr>
          <w:rFonts w:ascii="Tahoma" w:eastAsia="Times New Roman" w:hAnsi="Tahoma" w:cs="Tahoma"/>
          <w:b/>
          <w:i/>
          <w:iCs/>
          <w:color w:val="000000"/>
          <w:sz w:val="14"/>
          <w:szCs w:val="14"/>
          <w:shd w:val="clear" w:color="auto" w:fill="FFFFFF"/>
          <w:lang w:eastAsia="es-ES"/>
        </w:rPr>
        <w:t xml:space="preserve">"y de los programas y proyectos de servicios a grupos de atención prioritaria o que requieren servicios de protección especial ante situaciones de vulneración de derechos en las áreas de desarrollo infantil integral, servicios de atención a personas adultas mayores, servicios de atención </w:t>
      </w:r>
      <w:r w:rsidRPr="00153EF0">
        <w:rPr>
          <w:rFonts w:ascii="Tahoma" w:eastAsia="Times New Roman" w:hAnsi="Tahoma" w:cs="Tahoma"/>
          <w:b/>
          <w:i/>
          <w:iCs/>
          <w:color w:val="000000"/>
          <w:sz w:val="14"/>
          <w:szCs w:val="14"/>
          <w:shd w:val="clear" w:color="auto" w:fill="FFFFFF"/>
          <w:lang w:eastAsia="es-ES"/>
        </w:rPr>
        <w:lastRenderedPageBreak/>
        <w:t>apersonas con discapacidades y servicios de protección especial que desarrolla el Ministerio de Inclusión Económica y Social a través de sus cooperantes ".</w:t>
      </w:r>
    </w:p>
    <w:p w:rsidR="00275878" w:rsidRPr="00153EF0" w:rsidRDefault="004038C7" w:rsidP="005B5D4F">
      <w:pPr>
        <w:spacing w:after="0" w:line="240" w:lineRule="auto"/>
        <w:ind w:left="142"/>
        <w:jc w:val="both"/>
        <w:rPr>
          <w:rFonts w:ascii="Tahoma" w:eastAsia="Times New Roman" w:hAnsi="Tahoma" w:cs="Tahoma"/>
          <w:i/>
          <w:i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 2.-</w:t>
      </w:r>
      <w:r w:rsidRPr="00153EF0">
        <w:rPr>
          <w:rFonts w:ascii="Tahoma" w:eastAsia="Times New Roman" w:hAnsi="Tahoma" w:cs="Tahoma"/>
          <w:color w:val="000000"/>
          <w:sz w:val="14"/>
          <w:szCs w:val="14"/>
          <w:shd w:val="clear" w:color="auto" w:fill="FFFFFF"/>
          <w:lang w:eastAsia="es-ES"/>
        </w:rPr>
        <w:t> En el Artículo 2, al final del texto suprímase la palabra </w:t>
      </w:r>
      <w:r w:rsidRPr="00153EF0">
        <w:rPr>
          <w:rFonts w:ascii="Tahoma" w:eastAsia="Times New Roman" w:hAnsi="Tahoma" w:cs="Tahoma"/>
          <w:i/>
          <w:iCs/>
          <w:color w:val="000000"/>
          <w:sz w:val="14"/>
          <w:szCs w:val="14"/>
          <w:shd w:val="clear" w:color="auto" w:fill="FFFFFF"/>
          <w:lang w:eastAsia="es-ES"/>
        </w:rPr>
        <w:t>"estratégico".</w:t>
      </w:r>
    </w:p>
    <w:p w:rsidR="004038C7" w:rsidRPr="00153EF0" w:rsidRDefault="004038C7" w:rsidP="005B5D4F">
      <w:pPr>
        <w:spacing w:after="0" w:line="240" w:lineRule="auto"/>
        <w:ind w:left="142"/>
        <w:jc w:val="both"/>
        <w:rPr>
          <w:rFonts w:ascii="Tahoma" w:eastAsia="Times New Roman" w:hAnsi="Tahoma" w:cs="Tahoma"/>
          <w:sz w:val="14"/>
          <w:szCs w:val="14"/>
          <w:lang w:eastAsia="es-ES"/>
        </w:rPr>
      </w:pPr>
    </w:p>
    <w:p w:rsidR="004038C7" w:rsidRPr="00153EF0" w:rsidRDefault="004038C7" w:rsidP="005B5D4F">
      <w:pPr>
        <w:shd w:val="clear" w:color="auto" w:fill="FFFFFF"/>
        <w:spacing w:after="0" w:line="240" w:lineRule="auto"/>
        <w:ind w:left="142"/>
        <w:jc w:val="both"/>
        <w:rPr>
          <w:rFonts w:ascii="Tahoma" w:eastAsia="Times New Roman" w:hAnsi="Tahoma" w:cs="Tahoma"/>
          <w:color w:val="000000"/>
          <w:sz w:val="14"/>
          <w:szCs w:val="14"/>
          <w:lang w:eastAsia="es-ES"/>
        </w:rPr>
      </w:pPr>
      <w:r w:rsidRPr="00153EF0">
        <w:rPr>
          <w:rFonts w:ascii="Tahoma" w:eastAsia="Times New Roman" w:hAnsi="Tahoma" w:cs="Tahoma"/>
          <w:b/>
          <w:bCs/>
          <w:color w:val="000000"/>
          <w:sz w:val="14"/>
          <w:szCs w:val="14"/>
          <w:lang w:eastAsia="es-ES"/>
        </w:rPr>
        <w:t>DISPOSICIÓN GENERAL </w:t>
      </w:r>
    </w:p>
    <w:p w:rsidR="004038C7" w:rsidRPr="00153EF0" w:rsidRDefault="004038C7" w:rsidP="005B5D4F">
      <w:pPr>
        <w:spacing w:after="0" w:line="240" w:lineRule="auto"/>
        <w:ind w:left="142"/>
        <w:jc w:val="both"/>
        <w:rPr>
          <w:rFonts w:ascii="Tahoma" w:eastAsia="Times New Roman" w:hAnsi="Tahoma" w:cs="Tahoma"/>
          <w:sz w:val="14"/>
          <w:szCs w:val="14"/>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Disposición final.- </w:t>
      </w:r>
      <w:r w:rsidRPr="00153EF0">
        <w:rPr>
          <w:rFonts w:ascii="Tahoma" w:eastAsia="Times New Roman" w:hAnsi="Tahoma" w:cs="Tahoma"/>
          <w:color w:val="000000"/>
          <w:sz w:val="14"/>
          <w:szCs w:val="14"/>
          <w:shd w:val="clear" w:color="auto" w:fill="FFFFFF"/>
          <w:lang w:eastAsia="es-ES"/>
        </w:rPr>
        <w:t>El presente Acuerdo entrará en vigencia a partir de la fecha de su suscripción, sin perjuicio de su publicación en el Registro Oficial.</w:t>
      </w:r>
    </w:p>
    <w:p w:rsidR="005B5D4F" w:rsidRDefault="005B5D4F" w:rsidP="00275878">
      <w:pPr>
        <w:spacing w:after="0" w:line="240" w:lineRule="auto"/>
        <w:jc w:val="both"/>
        <w:rPr>
          <w:rFonts w:ascii="Tahoma" w:eastAsia="Times New Roman" w:hAnsi="Tahoma" w:cs="Tahoma"/>
          <w:sz w:val="20"/>
          <w:szCs w:val="24"/>
          <w:lang w:eastAsia="es-ES"/>
        </w:rPr>
        <w:sectPr w:rsidR="005B5D4F" w:rsidSect="00A76978">
          <w:type w:val="continuous"/>
          <w:pgSz w:w="11906" w:h="16838"/>
          <w:pgMar w:top="955" w:right="849" w:bottom="1417" w:left="1276" w:header="568" w:footer="708" w:gutter="0"/>
          <w:cols w:num="2" w:space="282"/>
          <w:docGrid w:linePitch="360"/>
        </w:sectPr>
      </w:pPr>
    </w:p>
    <w:p w:rsidR="004038C7" w:rsidRPr="00634277" w:rsidRDefault="004038C7" w:rsidP="00275878">
      <w:pPr>
        <w:spacing w:after="0" w:line="240" w:lineRule="auto"/>
        <w:jc w:val="both"/>
        <w:rPr>
          <w:rFonts w:ascii="Tahoma" w:eastAsia="Times New Roman" w:hAnsi="Tahoma" w:cs="Tahoma"/>
          <w:sz w:val="20"/>
          <w:szCs w:val="24"/>
          <w:lang w:eastAsia="es-ES"/>
        </w:rPr>
      </w:pPr>
    </w:p>
    <w:p w:rsidR="004038C7" w:rsidRPr="00634277" w:rsidRDefault="00A75150" w:rsidP="00634277">
      <w:pPr>
        <w:spacing w:after="0" w:line="240" w:lineRule="auto"/>
        <w:rPr>
          <w:rFonts w:ascii="Tahoma" w:eastAsia="Times New Roman" w:hAnsi="Tahoma" w:cs="Tahoma"/>
          <w:sz w:val="24"/>
          <w:szCs w:val="24"/>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66432" behindDoc="1" locked="0" layoutInCell="1" allowOverlap="1" wp14:anchorId="7F4E68ED" wp14:editId="7E1C440E">
                <wp:simplePos x="0" y="0"/>
                <wp:positionH relativeFrom="column">
                  <wp:posOffset>-842341</wp:posOffset>
                </wp:positionH>
                <wp:positionV relativeFrom="paragraph">
                  <wp:posOffset>145415</wp:posOffset>
                </wp:positionV>
                <wp:extent cx="7258050" cy="254441"/>
                <wp:effectExtent l="57150" t="19050" r="38100" b="88900"/>
                <wp:wrapNone/>
                <wp:docPr id="7" name="Rounded Rectangle 7"/>
                <wp:cNvGraphicFramePr/>
                <a:graphic xmlns:a="http://schemas.openxmlformats.org/drawingml/2006/main">
                  <a:graphicData uri="http://schemas.microsoft.com/office/word/2010/wordprocessingShape">
                    <wps:wsp>
                      <wps:cNvSpPr/>
                      <wps:spPr>
                        <a:xfrm>
                          <a:off x="0" y="0"/>
                          <a:ext cx="7258050" cy="254441"/>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7" o:spid="_x0000_s1026" style="position:absolute;margin-left:-66.35pt;margin-top:11.45pt;width:571.5pt;height:20.05pt;z-index:-2516500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4038C7" w:rsidRPr="00A75150" w:rsidRDefault="003D737D" w:rsidP="00A75150">
      <w:pPr>
        <w:spacing w:after="0" w:line="240" w:lineRule="auto"/>
        <w:rPr>
          <w:rFonts w:ascii="Tahoma" w:eastAsia="Times New Roman" w:hAnsi="Tahoma" w:cs="Tahoma"/>
          <w:color w:val="FFFFFF" w:themeColor="background1"/>
          <w:sz w:val="24"/>
          <w:szCs w:val="24"/>
          <w:lang w:eastAsia="es-ES"/>
        </w:rPr>
      </w:pPr>
      <w:r w:rsidRPr="00A75150">
        <w:rPr>
          <w:rFonts w:ascii="Tahoma" w:eastAsia="Times New Roman" w:hAnsi="Tahoma" w:cs="Tahoma"/>
          <w:b/>
          <w:bCs/>
          <w:color w:val="FFFFFF" w:themeColor="background1"/>
          <w:sz w:val="24"/>
          <w:szCs w:val="16"/>
          <w:lang w:eastAsia="es-ES"/>
        </w:rPr>
        <w:t>SERVICIO DE RENTAS INTERNAS: </w:t>
      </w:r>
    </w:p>
    <w:p w:rsidR="003D737D" w:rsidRDefault="00A75150" w:rsidP="00A75150">
      <w:pPr>
        <w:spacing w:after="0" w:line="240" w:lineRule="auto"/>
        <w:jc w:val="center"/>
        <w:rPr>
          <w:rFonts w:ascii="Tahoma" w:eastAsia="Times New Roman" w:hAnsi="Tahoma" w:cs="Tahoma"/>
          <w:b/>
          <w:bCs/>
          <w:color w:val="FFFFFF" w:themeColor="background1"/>
          <w:sz w:val="27"/>
          <w:szCs w:val="27"/>
          <w:lang w:eastAsia="es-ES"/>
        </w:rPr>
      </w:pPr>
      <w:r>
        <w:rPr>
          <w:noProof/>
          <w:lang w:val="es-EC" w:eastAsia="es-EC"/>
        </w:rPr>
        <w:drawing>
          <wp:anchor distT="0" distB="0" distL="114300" distR="114300" simplePos="0" relativeHeight="251665408" behindDoc="1" locked="0" layoutInCell="1" allowOverlap="1" wp14:anchorId="1D6BC5F3" wp14:editId="4A95AE4E">
            <wp:simplePos x="0" y="0"/>
            <wp:positionH relativeFrom="column">
              <wp:posOffset>352755</wp:posOffset>
            </wp:positionH>
            <wp:positionV relativeFrom="paragraph">
              <wp:posOffset>8255</wp:posOffset>
            </wp:positionV>
            <wp:extent cx="5303520" cy="1563416"/>
            <wp:effectExtent l="0" t="0" r="0" b="0"/>
            <wp:wrapNone/>
            <wp:docPr id="9" name="Picture 9" descr="https://richardarrieta.files.wordpress.com/2012/12/impuesto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richardarrieta.files.wordpress.com/2012/12/impuestos.jpg"/>
                    <pic:cNvPicPr>
                      <a:picLocks noChangeAspect="1" noChangeArrowheads="1"/>
                    </pic:cNvPicPr>
                  </pic:nvPicPr>
                  <pic:blipFill rotWithShape="1">
                    <a:blip r:embed="rId17">
                      <a:extLst>
                        <a:ext uri="{28A0092B-C50C-407E-A947-70E740481C1C}">
                          <a14:useLocalDpi xmlns:a14="http://schemas.microsoft.com/office/drawing/2010/main" val="0"/>
                        </a:ext>
                      </a:extLst>
                    </a:blip>
                    <a:srcRect t="37488" b="20466"/>
                    <a:stretch/>
                  </pic:blipFill>
                  <pic:spPr bwMode="auto">
                    <a:xfrm>
                      <a:off x="0" y="0"/>
                      <a:ext cx="5303520" cy="156341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spacing w:after="0" w:line="240" w:lineRule="auto"/>
        <w:jc w:val="center"/>
        <w:rPr>
          <w:rFonts w:ascii="Tahoma" w:eastAsia="Times New Roman" w:hAnsi="Tahoma" w:cs="Tahoma"/>
          <w:b/>
          <w:bCs/>
          <w:color w:val="FFFFFF" w:themeColor="background1"/>
          <w:sz w:val="27"/>
          <w:szCs w:val="27"/>
          <w:lang w:eastAsia="es-ES"/>
        </w:rPr>
      </w:pPr>
    </w:p>
    <w:p w:rsidR="00A75150" w:rsidRDefault="00A75150" w:rsidP="00A75150">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3D737D" w:rsidRDefault="003D737D" w:rsidP="003D737D">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w:t>
      </w: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Pr="007D58A7">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672, Martes 19 de Enero de 2016</w:t>
      </w:r>
    </w:p>
    <w:p w:rsidR="003D737D" w:rsidRPr="003D737D" w:rsidRDefault="003D737D" w:rsidP="003D737D">
      <w:pPr>
        <w:pStyle w:val="Prrafodelista"/>
        <w:spacing w:after="0" w:line="240" w:lineRule="auto"/>
        <w:ind w:left="36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EE2CFE" w:rsidRPr="0018394A" w:rsidRDefault="003D737D" w:rsidP="003D737D">
      <w:pPr>
        <w:pStyle w:val="Prrafodelista"/>
        <w:numPr>
          <w:ilvl w:val="0"/>
          <w:numId w:val="3"/>
        </w:numPr>
        <w:spacing w:after="0" w:line="240" w:lineRule="auto"/>
        <w:rPr>
          <w:rFonts w:ascii="Tahoma" w:eastAsia="Times New Roman" w:hAnsi="Tahoma" w:cs="Tahoma"/>
          <w:color w:val="000000"/>
          <w:sz w:val="18"/>
          <w:szCs w:val="16"/>
          <w:shd w:val="clear" w:color="auto" w:fill="FFFFFF"/>
          <w:lang w:eastAsia="es-ES"/>
        </w:rPr>
      </w:pPr>
      <w:r w:rsidRPr="0018394A">
        <w:rPr>
          <w:rFonts w:ascii="Tahoma" w:eastAsia="Times New Roman" w:hAnsi="Tahoma" w:cs="Tahoma"/>
          <w:b/>
          <w:color w:val="0070C0"/>
          <w:sz w:val="18"/>
          <w:szCs w:val="16"/>
          <w:lang w:eastAsia="es-ES"/>
        </w:rPr>
        <w:t xml:space="preserve">Circular </w:t>
      </w:r>
      <w:hyperlink r:id="rId18" w:history="1">
        <w:r w:rsidR="00EE2CFE" w:rsidRPr="0018394A">
          <w:rPr>
            <w:rFonts w:ascii="Tahoma" w:eastAsia="Times New Roman" w:hAnsi="Tahoma" w:cs="Tahoma"/>
            <w:b/>
            <w:color w:val="0070C0"/>
            <w:sz w:val="18"/>
            <w:szCs w:val="16"/>
            <w:shd w:val="clear" w:color="auto" w:fill="FFFFFF"/>
            <w:lang w:eastAsia="es-ES"/>
          </w:rPr>
          <w:t>NAC-DGECCGC16-00000001</w:t>
        </w:r>
      </w:hyperlink>
      <w:r w:rsidR="00EE2CFE" w:rsidRPr="0018394A">
        <w:rPr>
          <w:rFonts w:ascii="Tahoma" w:eastAsia="Times New Roman" w:hAnsi="Tahoma" w:cs="Tahoma"/>
          <w:b/>
          <w:color w:val="0070C0"/>
          <w:sz w:val="18"/>
          <w:szCs w:val="16"/>
          <w:shd w:val="clear" w:color="auto" w:fill="FFFFFF"/>
          <w:lang w:eastAsia="es-ES"/>
        </w:rPr>
        <w:t>:</w:t>
      </w:r>
      <w:r w:rsidR="00EE2CFE" w:rsidRPr="0018394A">
        <w:rPr>
          <w:rFonts w:ascii="Tahoma" w:eastAsia="Times New Roman" w:hAnsi="Tahoma" w:cs="Tahoma"/>
          <w:color w:val="0070C0"/>
          <w:sz w:val="18"/>
          <w:szCs w:val="16"/>
          <w:shd w:val="clear" w:color="auto" w:fill="FFFFFF"/>
          <w:lang w:eastAsia="es-ES"/>
        </w:rPr>
        <w:t xml:space="preserve"> </w:t>
      </w:r>
      <w:r w:rsidR="00EE2CFE" w:rsidRPr="0018394A">
        <w:rPr>
          <w:rFonts w:ascii="Tahoma" w:eastAsia="Times New Roman" w:hAnsi="Tahoma" w:cs="Tahoma"/>
          <w:color w:val="000000"/>
          <w:sz w:val="18"/>
          <w:szCs w:val="16"/>
          <w:shd w:val="clear" w:color="auto" w:fill="FFFFFF"/>
          <w:lang w:eastAsia="es-ES"/>
        </w:rPr>
        <w:t>A las instituciones del sector público que efectúen pagos por concepto de indemnización a las servidoras o servidores públicos</w:t>
      </w:r>
      <w:r w:rsidRPr="0018394A">
        <w:rPr>
          <w:rFonts w:ascii="Tahoma" w:eastAsia="Times New Roman" w:hAnsi="Tahoma" w:cs="Tahoma"/>
          <w:color w:val="000000"/>
          <w:sz w:val="18"/>
          <w:szCs w:val="16"/>
          <w:shd w:val="clear" w:color="auto" w:fill="FFFFFF"/>
          <w:lang w:eastAsia="es-ES"/>
        </w:rPr>
        <w:t>.</w:t>
      </w:r>
    </w:p>
    <w:p w:rsidR="00275878" w:rsidRPr="00275878" w:rsidRDefault="00275878" w:rsidP="00634277">
      <w:pPr>
        <w:spacing w:after="0" w:line="240" w:lineRule="auto"/>
        <w:rPr>
          <w:rFonts w:ascii="Tahoma" w:eastAsia="Times New Roman" w:hAnsi="Tahoma" w:cs="Tahoma"/>
          <w:color w:val="000000"/>
          <w:szCs w:val="27"/>
          <w:shd w:val="clear" w:color="auto" w:fill="FFFFFF"/>
          <w:lang w:eastAsia="es-ES"/>
        </w:rPr>
      </w:pPr>
    </w:p>
    <w:p w:rsidR="00047711" w:rsidRDefault="00047711" w:rsidP="003D737D">
      <w:pPr>
        <w:spacing w:after="0" w:line="240" w:lineRule="auto"/>
        <w:ind w:left="360"/>
        <w:jc w:val="both"/>
        <w:rPr>
          <w:rFonts w:ascii="Tahoma" w:eastAsia="Times New Roman" w:hAnsi="Tahoma" w:cs="Tahoma"/>
          <w:color w:val="000000"/>
          <w:sz w:val="16"/>
          <w:szCs w:val="16"/>
          <w:shd w:val="clear" w:color="auto" w:fill="FFFFFF"/>
          <w:lang w:eastAsia="es-ES"/>
        </w:rPr>
        <w:sectPr w:rsidR="00047711" w:rsidSect="00A76978">
          <w:type w:val="continuous"/>
          <w:pgSz w:w="11906" w:h="16838"/>
          <w:pgMar w:top="1175" w:right="849" w:bottom="1276" w:left="1276" w:header="709" w:footer="708" w:gutter="0"/>
          <w:cols w:space="708"/>
          <w:docGrid w:linePitch="360"/>
        </w:sectPr>
      </w:pP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lastRenderedPageBreak/>
        <w:t>El artículo 225 de la Constitución de la República del Ecuador, señala que el sector público comprende: 1. Los organismos y dependencias de las funciones Ejecutiva, Legislativa, Judicial, Electoral y de Transparencia y Control Social. 2. Las entidades que integran el régimen autónomo descentralizado. 3. Los organismos y entidades creados por la Constitución o la ley para el ejercicio de la potestad estatal, para la prestación de servicios públicos o para desarrollar actividades económicas asumidas por el Estado. 4. Las personas jurídicas creadas por acto normativo de los gobiernos autónomos descentralizados para la prestación de servicios públicos.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artículo 226 de la Constitución de la República del Ecuador, prevé que las instituciones del Estado, sus organismos, dependencias, los servidores públicos y las personas que actúen en virtud de una potestad estatal, ejercerán solamente las competencias y facultades que les sean atribuidas en la Constitución y la ley.</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Conforme al artículo 229 de la Constitución de la República del Ecuador, serán servidores públicos todas las personas que en cualquier forma o a cualquier título trabajen, presten servicios o ejerzan un cargo, función o dignidad dentro del sector público. La remuneración de las servidoras y servidores públicos será justa y equitativa, con relación a sus funciones, y valorará la profesionalización, capacitación, responsabilidad y experiencia.</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artículo 300 de la Constitución de la República del Ecuador, establece que el régimen tributario se regirá por los principios de generalidad, progresividad, eficiencia, simplicidad administrativa, irretroactividad, equidad, transparencia y suficiencia recaudatoria.</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 xml:space="preserve">Conforme al artículo 8 del Mandato Constituyente No. 2, publicado en el Suplemento del Registro Oficial No. 261 de 28 de enero de 2008, el monto de la indemnización por supresión de partidas, renuncia voluntaria o retiro voluntario, para acogerse a la jubilación de los funcionarios, servidores públicos y personal docente del sector público, con excepción del perteneciente a las Fuerzas Armadas y la Policía Nacional, será de </w:t>
      </w:r>
      <w:r w:rsidRPr="00153EF0">
        <w:rPr>
          <w:rFonts w:ascii="Tahoma" w:eastAsia="Times New Roman" w:hAnsi="Tahoma" w:cs="Tahoma"/>
          <w:color w:val="000000"/>
          <w:sz w:val="14"/>
          <w:szCs w:val="14"/>
          <w:shd w:val="clear" w:color="auto" w:fill="FFFFFF"/>
          <w:lang w:eastAsia="es-ES"/>
        </w:rPr>
        <w:lastRenderedPageBreak/>
        <w:t>hasta siete salarios mínimos básicos unificados del trabajador privado por cada año de servicio y hasta un monto máximo de doscientos diez salarios mínimos básicos unificados del trabajador privado en total.</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Los incisos tercero y cuarto del artículo 1 del Mandato Constituyente No. 4, publicado en el Suplemento del Registro Oficial No. 273 de 14 de febrero de 2008, dispone que las indemnizaciones por despido intempestivo del personal que trabaja en las instituciones señaladas en el artículo 2 del Mandato Constituyente No. 2, acordadas en contratos colectivos, actas transaccionales, actas de finiquito o cualquier otra forma de acuerdo o bajo cualquier denominación, que estipule el pago de indemnizaciones, bonificaciones o contribuciones por terminación de relaciones individuales de trabajo, bajo la figura de despido intempestivo, no podrán ser superiores a trescientos salarios básicos unificados del trabajador privado. Ninguna autoridad, juez o tribunal, podrá declarar como derecho adquirido, ni ordenar el pago de una indemnización por terminación de relaciones laborales, bajo la figura de despido intempestivo por un monto superior al antes mencionado.</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De acuerdo a lo manifestado por el artículo 7 del Código Tributario, en concordancia con el artículo 8 de la Ley de Creación del Servicio de Rentas Internas, es facultad de la Dirección General expedir circulares necesarias para la aplicación de las normas legales y reglamentarias.</w:t>
      </w:r>
    </w:p>
    <w:p w:rsidR="00047711" w:rsidRPr="00153EF0" w:rsidRDefault="00047711" w:rsidP="00047711">
      <w:pPr>
        <w:spacing w:after="0" w:line="240" w:lineRule="auto"/>
        <w:ind w:left="142"/>
        <w:jc w:val="both"/>
        <w:rPr>
          <w:rFonts w:ascii="Tahoma" w:eastAsia="Times New Roman" w:hAnsi="Tahoma" w:cs="Tahoma"/>
          <w:color w:val="000000"/>
          <w:sz w:val="14"/>
          <w:szCs w:val="14"/>
          <w:shd w:val="clear" w:color="auto" w:fill="FFFFFF"/>
          <w:lang w:eastAsia="es-ES"/>
        </w:rPr>
      </w:pP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El primer inciso del artículo 4 de la Ley Orgánica de Servicio Público, manifiesta que serán servidoras y servidores públicos todas las personas que en cualquier forma o a cualquier título trabajen, presten servicios o ejerzan un cargo, función o dignidad dentro del sector público.</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 xml:space="preserve">De acuerdo al numeral </w:t>
      </w:r>
      <w:proofErr w:type="spellStart"/>
      <w:r w:rsidRPr="00153EF0">
        <w:rPr>
          <w:rFonts w:ascii="Tahoma" w:eastAsia="Times New Roman" w:hAnsi="Tahoma" w:cs="Tahoma"/>
          <w:color w:val="000000"/>
          <w:sz w:val="14"/>
          <w:szCs w:val="14"/>
          <w:shd w:val="clear" w:color="auto" w:fill="FFFFFF"/>
          <w:lang w:eastAsia="es-ES"/>
        </w:rPr>
        <w:t>innumerado</w:t>
      </w:r>
      <w:proofErr w:type="spellEnd"/>
      <w:r w:rsidRPr="00153EF0">
        <w:rPr>
          <w:rFonts w:ascii="Tahoma" w:eastAsia="Times New Roman" w:hAnsi="Tahoma" w:cs="Tahoma"/>
          <w:color w:val="000000"/>
          <w:sz w:val="14"/>
          <w:szCs w:val="14"/>
          <w:shd w:val="clear" w:color="auto" w:fill="FFFFFF"/>
          <w:lang w:eastAsia="es-ES"/>
        </w:rPr>
        <w:t xml:space="preserve"> tercero a continuación del numeral 11 del artículo 9 de la Ley de Régimen Tributario Interno, están exentos de la determinación y liquidación del Impuesto a la Renta, los ingresos obtenidos por los trabajadores por concepto de bonificación de desahucio e indemnización por despido intempestivo, en la parte que no exceda a lo determinado por el Código del Trabajo. Toda bonificación e indemnización </w:t>
      </w:r>
      <w:r w:rsidRPr="00153EF0">
        <w:rPr>
          <w:rFonts w:ascii="Tahoma" w:eastAsia="Times New Roman" w:hAnsi="Tahoma" w:cs="Tahoma"/>
          <w:color w:val="000000"/>
          <w:sz w:val="14"/>
          <w:szCs w:val="14"/>
          <w:shd w:val="clear" w:color="auto" w:fill="FFFFFF"/>
          <w:lang w:eastAsia="es-ES"/>
        </w:rPr>
        <w:lastRenderedPageBreak/>
        <w:t>que sobrepase los valores determinados en el Código del Trabajo, aunque esté prevista en los contratos colectivos causará el Impuesto a la Renta. Los obtenidos por los servidores y funcionarios de las entidades que integran el sector público ecuatoriano, por terminación de sus relaciones laborales, serán también exentos dentro de los límites que establece la Disposición General Segunda de la Codificación de la Ley Orgánica de Servicio Civil y Carrera Administrativa y de Unificación y Homologación de las Remuneraciones del Sector Público, artículo 8 del Mandato Constituyente No. 2, publicado en el Suplemento del Registro Oficial No. 261 de 28 de enero de 2008 y el artículo 1 del Mandato Constituyente No. 4, publicado en Suplemento del Registro Oficial No. 273 de 14 de febrero de 2008, en lo que excedan formarán parte de la renta global.</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lastRenderedPageBreak/>
        <w:br/>
      </w:r>
      <w:r w:rsidRPr="00153EF0">
        <w:rPr>
          <w:rFonts w:ascii="Tahoma" w:eastAsia="Times New Roman" w:hAnsi="Tahoma" w:cs="Tahoma"/>
          <w:color w:val="000000"/>
          <w:sz w:val="14"/>
          <w:szCs w:val="14"/>
          <w:shd w:val="clear" w:color="auto" w:fill="FFFFFF"/>
          <w:lang w:eastAsia="es-ES"/>
        </w:rPr>
        <w:t xml:space="preserve">Con fundamento en la normativa expuesta, el Servicio de Rentas Internas recuerda a las instituciones del sector público que no se debe efectuar retenciones de Impuesto a la Renta cuando se realicen pagos por concepto de indemnizaciones a los servidores públicos, siempre y cuando no superen los límites establecidos en el artículo 8 del Mandato Constituyente No. 2 y el artículo 1 del Mandato Constituyente No. 4, de conformidad con el numeral </w:t>
      </w:r>
      <w:proofErr w:type="spellStart"/>
      <w:r w:rsidRPr="00153EF0">
        <w:rPr>
          <w:rFonts w:ascii="Tahoma" w:eastAsia="Times New Roman" w:hAnsi="Tahoma" w:cs="Tahoma"/>
          <w:color w:val="000000"/>
          <w:sz w:val="14"/>
          <w:szCs w:val="14"/>
          <w:shd w:val="clear" w:color="auto" w:fill="FFFFFF"/>
          <w:lang w:eastAsia="es-ES"/>
        </w:rPr>
        <w:t>innumerado</w:t>
      </w:r>
      <w:proofErr w:type="spellEnd"/>
      <w:r w:rsidRPr="00153EF0">
        <w:rPr>
          <w:rFonts w:ascii="Tahoma" w:eastAsia="Times New Roman" w:hAnsi="Tahoma" w:cs="Tahoma"/>
          <w:color w:val="000000"/>
          <w:sz w:val="14"/>
          <w:szCs w:val="14"/>
          <w:shd w:val="clear" w:color="auto" w:fill="FFFFFF"/>
          <w:lang w:eastAsia="es-ES"/>
        </w:rPr>
        <w:t xml:space="preserve"> tercero a continuación del numeral 11 del artículo 9 de la Ley de Régimen Tributario Interno.</w:t>
      </w:r>
    </w:p>
    <w:p w:rsidR="00EE2CFE"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En caso de superarse estos límites, el excedente entrará a formar parte de la renta global del servidor público.</w:t>
      </w:r>
    </w:p>
    <w:p w:rsidR="00047711" w:rsidRPr="00153EF0" w:rsidRDefault="00047711" w:rsidP="00634277">
      <w:pPr>
        <w:spacing w:after="0" w:line="240" w:lineRule="auto"/>
        <w:rPr>
          <w:rFonts w:ascii="Tahoma" w:eastAsia="Times New Roman" w:hAnsi="Tahoma" w:cs="Tahoma"/>
          <w:color w:val="000000"/>
          <w:sz w:val="14"/>
          <w:szCs w:val="14"/>
          <w:shd w:val="clear" w:color="auto" w:fill="FFFFFF"/>
          <w:lang w:eastAsia="es-ES"/>
        </w:rPr>
        <w:sectPr w:rsidR="00047711" w:rsidRPr="00153EF0" w:rsidSect="00A76978">
          <w:type w:val="continuous"/>
          <w:pgSz w:w="11906" w:h="16838"/>
          <w:pgMar w:top="1175" w:right="849" w:bottom="1276" w:left="1276" w:header="709" w:footer="708" w:gutter="0"/>
          <w:cols w:num="2" w:space="286"/>
          <w:docGrid w:linePitch="360"/>
        </w:sectPr>
      </w:pPr>
    </w:p>
    <w:p w:rsidR="004038C7" w:rsidRPr="00153EF0" w:rsidRDefault="004038C7" w:rsidP="00634277">
      <w:pPr>
        <w:spacing w:after="0" w:line="240" w:lineRule="auto"/>
        <w:rPr>
          <w:rFonts w:ascii="Tahoma" w:eastAsia="Times New Roman" w:hAnsi="Tahoma" w:cs="Tahoma"/>
          <w:color w:val="000000"/>
          <w:sz w:val="14"/>
          <w:szCs w:val="14"/>
          <w:shd w:val="clear" w:color="auto" w:fill="FFFFFF"/>
          <w:lang w:eastAsia="es-ES"/>
        </w:rPr>
      </w:pPr>
    </w:p>
    <w:p w:rsidR="00275878" w:rsidRPr="00153EF0" w:rsidRDefault="00275878" w:rsidP="00634277">
      <w:pPr>
        <w:spacing w:after="0" w:line="240" w:lineRule="auto"/>
        <w:rPr>
          <w:rFonts w:ascii="Tahoma" w:eastAsia="Times New Roman" w:hAnsi="Tahoma" w:cs="Tahoma"/>
          <w:color w:val="000000"/>
          <w:sz w:val="14"/>
          <w:szCs w:val="14"/>
          <w:shd w:val="clear" w:color="auto" w:fill="FFFFFF"/>
          <w:lang w:eastAsia="es-ES"/>
        </w:rPr>
      </w:pPr>
    </w:p>
    <w:p w:rsidR="00EE2CFE" w:rsidRPr="0018394A" w:rsidRDefault="003D737D" w:rsidP="003D737D">
      <w:pPr>
        <w:pStyle w:val="Prrafodelista"/>
        <w:numPr>
          <w:ilvl w:val="0"/>
          <w:numId w:val="4"/>
        </w:numPr>
        <w:spacing w:after="0" w:line="240" w:lineRule="auto"/>
        <w:rPr>
          <w:rFonts w:ascii="Tahoma" w:hAnsi="Tahoma" w:cs="Tahoma"/>
          <w:color w:val="000000"/>
          <w:sz w:val="18"/>
          <w:szCs w:val="14"/>
          <w:shd w:val="clear" w:color="auto" w:fill="FFFFFF"/>
        </w:rPr>
      </w:pPr>
      <w:r w:rsidRPr="0018394A">
        <w:rPr>
          <w:rStyle w:val="Hipervnculo"/>
          <w:rFonts w:ascii="Tahoma" w:hAnsi="Tahoma" w:cs="Tahoma"/>
          <w:b/>
          <w:color w:val="0070C0"/>
          <w:sz w:val="18"/>
          <w:szCs w:val="14"/>
          <w:u w:val="none"/>
          <w:shd w:val="clear" w:color="auto" w:fill="FFFFFF"/>
        </w:rPr>
        <w:t xml:space="preserve">Resolución </w:t>
      </w:r>
      <w:hyperlink r:id="rId19" w:history="1">
        <w:r w:rsidR="00EE2CFE" w:rsidRPr="0018394A">
          <w:rPr>
            <w:rStyle w:val="Hipervnculo"/>
            <w:rFonts w:ascii="Tahoma" w:hAnsi="Tahoma" w:cs="Tahoma"/>
            <w:b/>
            <w:color w:val="0070C0"/>
            <w:sz w:val="18"/>
            <w:szCs w:val="14"/>
            <w:u w:val="none"/>
            <w:shd w:val="clear" w:color="auto" w:fill="FFFFFF"/>
          </w:rPr>
          <w:t>NAC-DGERCGC16-00000010</w:t>
        </w:r>
      </w:hyperlink>
      <w:r w:rsidR="00EE2CFE" w:rsidRPr="0018394A">
        <w:rPr>
          <w:rStyle w:val="Hipervnculo"/>
          <w:rFonts w:ascii="Tahoma" w:hAnsi="Tahoma" w:cs="Tahoma"/>
          <w:b/>
          <w:color w:val="0070C0"/>
          <w:sz w:val="18"/>
          <w:szCs w:val="14"/>
          <w:u w:val="none"/>
        </w:rPr>
        <w:t>:</w:t>
      </w:r>
      <w:r w:rsidR="00EE2CFE" w:rsidRPr="0018394A">
        <w:rPr>
          <w:rFonts w:ascii="Tahoma" w:hAnsi="Tahoma" w:cs="Tahoma"/>
          <w:color w:val="0070C0"/>
          <w:sz w:val="18"/>
          <w:szCs w:val="14"/>
          <w:shd w:val="clear" w:color="auto" w:fill="FFFFFF"/>
        </w:rPr>
        <w:t xml:space="preserve"> </w:t>
      </w:r>
      <w:r w:rsidRPr="0018394A">
        <w:rPr>
          <w:rFonts w:ascii="Tahoma" w:hAnsi="Tahoma" w:cs="Tahoma"/>
          <w:color w:val="000000"/>
          <w:sz w:val="18"/>
          <w:szCs w:val="14"/>
          <w:shd w:val="clear" w:color="auto" w:fill="FFFFFF"/>
        </w:rPr>
        <w:t xml:space="preserve">Se expiden </w:t>
      </w:r>
      <w:r w:rsidR="00EE2CFE" w:rsidRPr="0018394A">
        <w:rPr>
          <w:rFonts w:ascii="Tahoma" w:hAnsi="Tahoma" w:cs="Tahoma"/>
          <w:color w:val="000000"/>
          <w:sz w:val="18"/>
          <w:szCs w:val="14"/>
          <w:shd w:val="clear" w:color="auto" w:fill="FFFFFF"/>
        </w:rPr>
        <w:t>las normas para el pago de obligaciones tributarias y fiscales administradas por el SRI, mediante títulos del Banco Central (TBC)</w:t>
      </w:r>
      <w:r w:rsidRPr="0018394A">
        <w:rPr>
          <w:rFonts w:ascii="Tahoma" w:hAnsi="Tahoma" w:cs="Tahoma"/>
          <w:color w:val="000000"/>
          <w:sz w:val="18"/>
          <w:szCs w:val="14"/>
          <w:shd w:val="clear" w:color="auto" w:fill="FFFFFF"/>
        </w:rPr>
        <w:t>.</w:t>
      </w:r>
    </w:p>
    <w:p w:rsidR="00275878" w:rsidRPr="00153EF0" w:rsidRDefault="00275878" w:rsidP="00634277">
      <w:pPr>
        <w:spacing w:after="0" w:line="240" w:lineRule="auto"/>
        <w:rPr>
          <w:rFonts w:ascii="Tahoma" w:hAnsi="Tahoma" w:cs="Tahoma"/>
          <w:color w:val="000000"/>
          <w:sz w:val="14"/>
          <w:szCs w:val="14"/>
          <w:shd w:val="clear" w:color="auto" w:fill="FFFFFF"/>
        </w:rPr>
      </w:pPr>
    </w:p>
    <w:p w:rsidR="00047711" w:rsidRPr="00153EF0" w:rsidRDefault="00047711" w:rsidP="003D737D">
      <w:pPr>
        <w:shd w:val="clear" w:color="auto" w:fill="FFFFFF"/>
        <w:spacing w:after="0" w:line="240" w:lineRule="auto"/>
        <w:ind w:left="360"/>
        <w:jc w:val="center"/>
        <w:rPr>
          <w:rFonts w:ascii="Tahoma" w:eastAsia="Times New Roman" w:hAnsi="Tahoma" w:cs="Tahoma"/>
          <w:b/>
          <w:bCs/>
          <w:color w:val="000000"/>
          <w:sz w:val="14"/>
          <w:szCs w:val="14"/>
          <w:lang w:eastAsia="es-ES"/>
        </w:rPr>
        <w:sectPr w:rsidR="00047711" w:rsidRPr="00153EF0" w:rsidSect="00A76978">
          <w:type w:val="continuous"/>
          <w:pgSz w:w="11906" w:h="16838"/>
          <w:pgMar w:top="1175" w:right="849" w:bottom="1276" w:left="1276" w:header="709" w:footer="708" w:gutter="0"/>
          <w:cols w:space="708"/>
          <w:docGrid w:linePitch="360"/>
        </w:sectPr>
      </w:pPr>
    </w:p>
    <w:p w:rsidR="004038C7" w:rsidRPr="00153EF0" w:rsidRDefault="004038C7" w:rsidP="00047711">
      <w:pPr>
        <w:shd w:val="clear" w:color="auto" w:fill="FFFFFF"/>
        <w:spacing w:after="0" w:line="240" w:lineRule="auto"/>
        <w:ind w:left="142"/>
        <w:jc w:val="center"/>
        <w:rPr>
          <w:rFonts w:ascii="Tahoma" w:eastAsia="Times New Roman" w:hAnsi="Tahoma" w:cs="Tahoma"/>
          <w:color w:val="000000"/>
          <w:sz w:val="14"/>
          <w:szCs w:val="14"/>
          <w:lang w:eastAsia="es-ES"/>
        </w:rPr>
      </w:pPr>
      <w:r w:rsidRPr="00153EF0">
        <w:rPr>
          <w:rFonts w:ascii="Tahoma" w:eastAsia="Times New Roman" w:hAnsi="Tahoma" w:cs="Tahoma"/>
          <w:b/>
          <w:bCs/>
          <w:color w:val="000000"/>
          <w:sz w:val="14"/>
          <w:szCs w:val="14"/>
          <w:lang w:eastAsia="es-ES"/>
        </w:rPr>
        <w:lastRenderedPageBreak/>
        <w:t>Resuelve: </w:t>
      </w:r>
    </w:p>
    <w:p w:rsidR="00275878" w:rsidRPr="00153EF0" w:rsidRDefault="004038C7" w:rsidP="00047711">
      <w:pPr>
        <w:spacing w:after="0" w:line="240" w:lineRule="auto"/>
        <w:ind w:left="142"/>
        <w:jc w:val="both"/>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Expedir las normas para el pago de obligaciones</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tributarias y fiscales administradas por el Servicio de</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Rentas Internas mediante Títulos del Banco Central</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(TBC)</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 Objeto.- </w:t>
      </w:r>
      <w:r w:rsidRPr="00153EF0">
        <w:rPr>
          <w:rFonts w:ascii="Tahoma" w:eastAsia="Times New Roman" w:hAnsi="Tahoma" w:cs="Tahoma"/>
          <w:color w:val="000000"/>
          <w:sz w:val="14"/>
          <w:szCs w:val="14"/>
          <w:shd w:val="clear" w:color="auto" w:fill="FFFFFF"/>
          <w:lang w:eastAsia="es-ES"/>
        </w:rPr>
        <w:t>Establecer las normas para el pago de obligaciones tributarias y fiscales, al día o vencidas, presentadas en declaraciones de impuestos administrados por el Servicio de Rentas Internas mediante Títulos del Banco Central (TBC).</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 Alternativas para el uso del TBC- </w:t>
      </w:r>
      <w:r w:rsidRPr="00153EF0">
        <w:rPr>
          <w:rFonts w:ascii="Tahoma" w:eastAsia="Times New Roman" w:hAnsi="Tahoma" w:cs="Tahoma"/>
          <w:color w:val="000000"/>
          <w:sz w:val="14"/>
          <w:szCs w:val="14"/>
          <w:shd w:val="clear" w:color="auto" w:fill="FFFFFF"/>
          <w:lang w:eastAsia="es-ES"/>
        </w:rPr>
        <w:t>Los sujetos pasivos que, previo cumplimiento de los lineamientos y requisitos establecidos por parte del Ministerio de Finanzas, sean titulares de Títulos del Banco Central (TBC), y requieran pagar tributos administrados por el Servicio de Rentas Internas, tendrán varias alternativas de pago disponibles, siendo estas las siguientes: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Consignarán el valor a utilizarse en el formulario de declaración de impuestos, en el campo que permite el pago con estos títulos, o,</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b) Realizarán una liquidación de obligaciones con la institución pública pagadora y el Servicio de Rentas Internas.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Estos procesos de pago se efectuarán a valor nominal.</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3. Pagos en el campo de Títulos del Banco Central.- </w:t>
      </w:r>
      <w:r w:rsidRPr="00153EF0">
        <w:rPr>
          <w:rFonts w:ascii="Tahoma" w:eastAsia="Times New Roman" w:hAnsi="Tahoma" w:cs="Tahoma"/>
          <w:color w:val="000000"/>
          <w:sz w:val="14"/>
          <w:szCs w:val="14"/>
          <w:shd w:val="clear" w:color="auto" w:fill="FFFFFF"/>
          <w:lang w:eastAsia="es-ES"/>
        </w:rPr>
        <w:t>Para consignar el valor a pagar con Títulos del Banco Central (TBC) en su respectivo casillero de los formularios de declaración de impuestos, el sujeto pasivo beneficiario deberá:</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Autorizar previamente la transferencia del monto que requiera utilizar en su declaración de impuestos, a la subcuenta de valores del Servicio de Rentas Internas, a través de una casa de valores o del Depósito Centralizado de Valores del Banco Central del Ecuador.</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b) Una vez transferido el Título del Banco Central (TBC) a la subcuenta del Servicio de Rentas Internas, el mencionado valor será habilitado, para su utilización en el correspondiente campo de pago con Títulos del Banco Central (TBC) en el formulario de declaración de impuestos.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En caso de existir medidas cautelares interpuestas a los contribuyentes beneficiarios, el mencionado valor será habilitado una vez finalizado el análisis correspondiente respecto de una posible retención de los valores adeudados, de conformidad con la Ley.</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4. Pago mediante liquidación de obligaciones.</w:t>
      </w:r>
      <w:r w:rsidRPr="00153EF0">
        <w:rPr>
          <w:rFonts w:ascii="Tahoma" w:eastAsia="Times New Roman" w:hAnsi="Tahoma" w:cs="Tahoma"/>
          <w:color w:val="000000"/>
          <w:sz w:val="14"/>
          <w:szCs w:val="14"/>
          <w:shd w:val="clear" w:color="auto" w:fill="FFFFFF"/>
          <w:lang w:eastAsia="es-ES"/>
        </w:rPr>
        <w:t>- Cuando un sujeto pasivo identifique deudas firmes registradas en el Servicio de Rentas Internas; y a la vez, valores pendientes de cobro a alguna institución del Estado, al momento de recibir los Títulos del Banco Central (TBC) podrá cancelar su obligación tributaria, como parte del mismo proceso, mediante la suscripción en el Ministerio de Finanzas de una instrucción dirigida al Depósito Centralizado de Valores del Banco Central del Ecuador, en la que solicitará la transferencia del valor recibido o de parte de este, a la subcuenta de valores del Servicio de Rentas Internas. Para el efecto, tanto el Servicio de Rentas Internas como la institución pública pagadora, confirmarán los valores que podrán ser liquidados mediante este mecanismo de pago.</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Con la instrucción suscrita, el Depósito Centralizado de Compensación y Liquidación de Valores del Banco Central del Ecuador registrará las transacciones implícitas, entre las que se verificará el pago del Título del Banco Central (TBC) al Servicio de Rentas Internas.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Este proceso estará habilitado únicamente para las instituciones del Estado establecidas por el Ministerio de Finanzas.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lastRenderedPageBreak/>
        <w:br/>
      </w:r>
      <w:r w:rsidRPr="00153EF0">
        <w:rPr>
          <w:rFonts w:ascii="Tahoma" w:eastAsia="Times New Roman" w:hAnsi="Tahoma" w:cs="Tahoma"/>
          <w:b/>
          <w:bCs/>
          <w:color w:val="000000"/>
          <w:sz w:val="14"/>
          <w:szCs w:val="14"/>
          <w:shd w:val="clear" w:color="auto" w:fill="FFFFFF"/>
          <w:lang w:eastAsia="es-ES"/>
        </w:rPr>
        <w:t>Artículo 5. Requisitos para la habilitación del Título del Banco Central.- </w:t>
      </w:r>
      <w:r w:rsidRPr="00153EF0">
        <w:rPr>
          <w:rFonts w:ascii="Tahoma" w:eastAsia="Times New Roman" w:hAnsi="Tahoma" w:cs="Tahoma"/>
          <w:color w:val="000000"/>
          <w:sz w:val="14"/>
          <w:szCs w:val="14"/>
          <w:shd w:val="clear" w:color="auto" w:fill="FFFFFF"/>
          <w:lang w:eastAsia="es-ES"/>
        </w:rPr>
        <w:t>El Servicio de Rentas Internas habilitará el Título del Banco Central (TBC) exclusivamente cuando se certifique que dichos valores han sido transferidos a su subcuenta de valores y el Depósito Centralizado de Valores del Banco Central del Ecuador haya provisto los datos mínimos requeridos que se muestran a continuación:</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1. RUC y razón social del beneficiario;</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2. Número referencial del Título del Banco Central (TBC);</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3. Fecha de emisión del Título del Banco Central (TBC);</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4. Valor del Título del Banco Central (TBC);</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5. Fecha de la transferencia del Título del Banco Central (TBC) a la Subcuenta de Valores del Servicio de Rentas Internas; y,</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6. Número de la subcuenta de valores del contribuyente en el Depósito Centralizado de Compensación y Liquidación de Valores del Banco Central del Ecuador.</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6.- </w:t>
      </w:r>
      <w:r w:rsidRPr="00153EF0">
        <w:rPr>
          <w:rFonts w:ascii="Tahoma" w:eastAsia="Times New Roman" w:hAnsi="Tahoma" w:cs="Tahoma"/>
          <w:color w:val="000000"/>
          <w:sz w:val="14"/>
          <w:szCs w:val="14"/>
          <w:shd w:val="clear" w:color="auto" w:fill="FFFFFF"/>
          <w:lang w:eastAsia="es-ES"/>
        </w:rPr>
        <w:t>Todas las unidades del Servicio de Rentas Internas, deberán considerar lo dispuesto en la presente Resolución dentro de sus respectivos procesos de control.</w:t>
      </w:r>
    </w:p>
    <w:p w:rsidR="004038C7" w:rsidRPr="00153EF0" w:rsidRDefault="004038C7" w:rsidP="00047711">
      <w:pPr>
        <w:spacing w:after="0" w:line="240" w:lineRule="auto"/>
        <w:ind w:left="142"/>
        <w:jc w:val="both"/>
        <w:rPr>
          <w:rFonts w:ascii="Tahoma" w:eastAsia="Times New Roman" w:hAnsi="Tahoma" w:cs="Tahoma"/>
          <w:sz w:val="14"/>
          <w:szCs w:val="14"/>
          <w:lang w:eastAsia="es-ES"/>
        </w:rPr>
      </w:pPr>
    </w:p>
    <w:p w:rsidR="004038C7" w:rsidRPr="00153EF0" w:rsidRDefault="004038C7" w:rsidP="00047711">
      <w:pPr>
        <w:shd w:val="clear" w:color="auto" w:fill="FFFFFF"/>
        <w:spacing w:after="0" w:line="240" w:lineRule="auto"/>
        <w:ind w:left="142"/>
        <w:jc w:val="center"/>
        <w:rPr>
          <w:rFonts w:ascii="Tahoma" w:eastAsia="Times New Roman" w:hAnsi="Tahoma" w:cs="Tahoma"/>
          <w:b/>
          <w:bCs/>
          <w:color w:val="000000"/>
          <w:sz w:val="14"/>
          <w:szCs w:val="14"/>
          <w:lang w:eastAsia="es-ES"/>
        </w:rPr>
      </w:pPr>
      <w:r w:rsidRPr="00153EF0">
        <w:rPr>
          <w:rFonts w:ascii="Tahoma" w:eastAsia="Times New Roman" w:hAnsi="Tahoma" w:cs="Tahoma"/>
          <w:b/>
          <w:bCs/>
          <w:color w:val="000000"/>
          <w:sz w:val="14"/>
          <w:szCs w:val="14"/>
          <w:lang w:eastAsia="es-ES"/>
        </w:rPr>
        <w:t>DISPOSICIONES GENERALES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PRIMERA.- </w:t>
      </w:r>
      <w:r w:rsidRPr="00153EF0">
        <w:rPr>
          <w:rFonts w:ascii="Tahoma" w:eastAsia="Times New Roman" w:hAnsi="Tahoma" w:cs="Tahoma"/>
          <w:color w:val="000000"/>
          <w:sz w:val="14"/>
          <w:szCs w:val="14"/>
          <w:shd w:val="clear" w:color="auto" w:fill="FFFFFF"/>
          <w:lang w:eastAsia="es-ES"/>
        </w:rPr>
        <w:t>El Servicio de Rentas Internas implementará los procesos que corresponda para identificar y validar la recepción de los Títulos del Banco Central (TBC).</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SEGUNDA.- </w:t>
      </w:r>
      <w:r w:rsidRPr="00153EF0">
        <w:rPr>
          <w:rFonts w:ascii="Tahoma" w:eastAsia="Times New Roman" w:hAnsi="Tahoma" w:cs="Tahoma"/>
          <w:color w:val="000000"/>
          <w:sz w:val="14"/>
          <w:szCs w:val="14"/>
          <w:shd w:val="clear" w:color="auto" w:fill="FFFFFF"/>
          <w:lang w:eastAsia="es-ES"/>
        </w:rPr>
        <w:t>La Dirección Nacional de Recaudación y Asistencia al Ciudadano del Servicio de Rentas Internas será la unidad responsable del registro de los pagos efectuados con Títulos del Banco Central (TBC); para lo cual deberá observar el procedimiento descrito en la presente resolución.</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TERCERA.- </w:t>
      </w:r>
      <w:r w:rsidRPr="00153EF0">
        <w:rPr>
          <w:rFonts w:ascii="Tahoma" w:eastAsia="Times New Roman" w:hAnsi="Tahoma" w:cs="Tahoma"/>
          <w:color w:val="000000"/>
          <w:sz w:val="14"/>
          <w:szCs w:val="14"/>
          <w:shd w:val="clear" w:color="auto" w:fill="FFFFFF"/>
          <w:lang w:eastAsia="es-ES"/>
        </w:rPr>
        <w:t>El Servicio de Rentas Internas incorporará el campo de pago con Títulos del Banco Central (TBC) en los distintos formularios de declaración de impuestos.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DISPOSICIÓN REFORMATORIA ÚNICA.- </w:t>
      </w:r>
      <w:r w:rsidRPr="00153EF0">
        <w:rPr>
          <w:rFonts w:ascii="Tahoma" w:eastAsia="Times New Roman" w:hAnsi="Tahoma" w:cs="Tahoma"/>
          <w:color w:val="000000"/>
          <w:sz w:val="14"/>
          <w:szCs w:val="14"/>
          <w:shd w:val="clear" w:color="auto" w:fill="FFFFFF"/>
          <w:lang w:eastAsia="es-ES"/>
        </w:rPr>
        <w:t>Efectúese las siguientes reformas en el artículo 3 de la Resolución No. NAC-DGERCGC10-00003 publicada en el Registro Oficial 115 de fecha 25 de enero de 2010:</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1. - En el literal d) elimínese "y,"</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2.- </w:t>
      </w:r>
      <w:proofErr w:type="spellStart"/>
      <w:r w:rsidRPr="00153EF0">
        <w:rPr>
          <w:rFonts w:ascii="Tahoma" w:eastAsia="Times New Roman" w:hAnsi="Tahoma" w:cs="Tahoma"/>
          <w:color w:val="000000"/>
          <w:sz w:val="14"/>
          <w:szCs w:val="14"/>
          <w:shd w:val="clear" w:color="auto" w:fill="FFFFFF"/>
          <w:lang w:eastAsia="es-ES"/>
        </w:rPr>
        <w:t>Sustituyase</w:t>
      </w:r>
      <w:proofErr w:type="spellEnd"/>
      <w:r w:rsidRPr="00153EF0">
        <w:rPr>
          <w:rFonts w:ascii="Tahoma" w:eastAsia="Times New Roman" w:hAnsi="Tahoma" w:cs="Tahoma"/>
          <w:color w:val="000000"/>
          <w:sz w:val="14"/>
          <w:szCs w:val="14"/>
          <w:shd w:val="clear" w:color="auto" w:fill="FFFFFF"/>
          <w:lang w:eastAsia="es-ES"/>
        </w:rPr>
        <w:t xml:space="preserve"> el punto final del literal e) por punto y coma</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3.-Agregúese el siguiente literal:</w:t>
      </w:r>
      <w:r w:rsidR="00153EF0" w:rsidRPr="00153EF0">
        <w:rPr>
          <w:rFonts w:ascii="Tahoma" w:eastAsia="Times New Roman" w:hAnsi="Tahoma" w:cs="Tahoma"/>
          <w:color w:val="000000"/>
          <w:sz w:val="14"/>
          <w:szCs w:val="14"/>
          <w:shd w:val="clear" w:color="auto" w:fill="FFFFFF"/>
          <w:lang w:eastAsia="es-ES"/>
        </w:rPr>
        <w:t xml:space="preserve"> </w:t>
      </w:r>
      <w:r w:rsidRPr="00153EF0">
        <w:rPr>
          <w:rFonts w:ascii="Tahoma" w:eastAsia="Times New Roman" w:hAnsi="Tahoma" w:cs="Tahoma"/>
          <w:color w:val="000000"/>
          <w:sz w:val="14"/>
          <w:szCs w:val="14"/>
          <w:shd w:val="clear" w:color="auto" w:fill="FFFFFF"/>
          <w:lang w:eastAsia="es-ES"/>
        </w:rPr>
        <w:t>"f) Otras establecidas en la normativa vigente."</w:t>
      </w:r>
    </w:p>
    <w:p w:rsidR="004038C7" w:rsidRPr="00153EF0" w:rsidRDefault="004038C7" w:rsidP="00047711">
      <w:pPr>
        <w:spacing w:after="0" w:line="240" w:lineRule="auto"/>
        <w:ind w:left="142"/>
        <w:jc w:val="both"/>
        <w:rPr>
          <w:rFonts w:ascii="Tahoma" w:eastAsia="Times New Roman" w:hAnsi="Tahoma" w:cs="Tahoma"/>
          <w:sz w:val="14"/>
          <w:szCs w:val="14"/>
          <w:lang w:eastAsia="es-ES"/>
        </w:rPr>
      </w:pPr>
    </w:p>
    <w:p w:rsidR="004038C7" w:rsidRPr="00153EF0" w:rsidRDefault="004038C7" w:rsidP="00047711">
      <w:pPr>
        <w:shd w:val="clear" w:color="auto" w:fill="FFFFFF"/>
        <w:spacing w:after="0" w:line="240" w:lineRule="auto"/>
        <w:ind w:left="142"/>
        <w:jc w:val="center"/>
        <w:rPr>
          <w:rFonts w:ascii="Tahoma" w:eastAsia="Times New Roman" w:hAnsi="Tahoma" w:cs="Tahoma"/>
          <w:b/>
          <w:bCs/>
          <w:color w:val="000000"/>
          <w:sz w:val="14"/>
          <w:szCs w:val="14"/>
          <w:lang w:eastAsia="es-ES"/>
        </w:rPr>
      </w:pPr>
      <w:r w:rsidRPr="00153EF0">
        <w:rPr>
          <w:rFonts w:ascii="Tahoma" w:eastAsia="Times New Roman" w:hAnsi="Tahoma" w:cs="Tahoma"/>
          <w:b/>
          <w:bCs/>
          <w:color w:val="000000"/>
          <w:sz w:val="14"/>
          <w:szCs w:val="14"/>
          <w:lang w:eastAsia="es-ES"/>
        </w:rPr>
        <w:t>DISPOSICIONES TRANSITORIAS</w:t>
      </w:r>
    </w:p>
    <w:p w:rsidR="00275878" w:rsidRPr="00153EF0" w:rsidRDefault="00275878" w:rsidP="00047711">
      <w:pPr>
        <w:shd w:val="clear" w:color="auto" w:fill="FFFFFF"/>
        <w:spacing w:after="0" w:line="240" w:lineRule="auto"/>
        <w:ind w:left="142"/>
        <w:jc w:val="both"/>
        <w:rPr>
          <w:rFonts w:ascii="Tahoma" w:eastAsia="Times New Roman" w:hAnsi="Tahoma" w:cs="Tahoma"/>
          <w:color w:val="000000"/>
          <w:sz w:val="14"/>
          <w:szCs w:val="14"/>
          <w:lang w:eastAsia="es-ES"/>
        </w:rPr>
      </w:pPr>
    </w:p>
    <w:p w:rsidR="003D737D"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b/>
          <w:bCs/>
          <w:color w:val="000000"/>
          <w:sz w:val="14"/>
          <w:szCs w:val="14"/>
          <w:shd w:val="clear" w:color="auto" w:fill="FFFFFF"/>
          <w:lang w:eastAsia="es-ES"/>
        </w:rPr>
        <w:t>PRIMERA.- </w:t>
      </w:r>
      <w:r w:rsidRPr="00153EF0">
        <w:rPr>
          <w:rFonts w:ascii="Tahoma" w:eastAsia="Times New Roman" w:hAnsi="Tahoma" w:cs="Tahoma"/>
          <w:color w:val="000000"/>
          <w:sz w:val="14"/>
          <w:szCs w:val="14"/>
          <w:shd w:val="clear" w:color="auto" w:fill="FFFFFF"/>
          <w:lang w:eastAsia="es-ES"/>
        </w:rPr>
        <w:t>De conformidad con lo establecido en esta resolución, las instituciones involucradas deberán realizar el desarrollo informático y el procedimiento correspondiente, para dar operatividad, aceptar y validar los Títulos del Banco Central.</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SEGUNDA.- </w:t>
      </w:r>
      <w:r w:rsidRPr="00153EF0">
        <w:rPr>
          <w:rFonts w:ascii="Tahoma" w:eastAsia="Times New Roman" w:hAnsi="Tahoma" w:cs="Tahoma"/>
          <w:color w:val="000000"/>
          <w:sz w:val="14"/>
          <w:szCs w:val="14"/>
          <w:shd w:val="clear" w:color="auto" w:fill="FFFFFF"/>
          <w:lang w:eastAsia="es-ES"/>
        </w:rPr>
        <w:t>Hasta que los formularios de declaración de impuestos cuenten con un campo en el que se permita consignar el valor a pagar con Títulos del Banco Central (TBC), el sujeto pasivo beneficiario deberá:</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Autorizar la transferencia del monto que exclusivamente requiera utilizar en su declaración de impuestos, a la subcuenta de valores del Servicio de Rentas Internas, a través de una casa de valores o del Depósito Centralizado de Valores del Banco Central del Ecuador.</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 xml:space="preserve">b) Una vez transferido el Título del Banco Central (TBC) y previa confirmación de su recepción por parte del Depósito Centralizado de Valores del Banco Central del Ecuador, el Servicio de Rentas Internas </w:t>
      </w:r>
      <w:r w:rsidRPr="00153EF0">
        <w:rPr>
          <w:rFonts w:ascii="Tahoma" w:eastAsia="Times New Roman" w:hAnsi="Tahoma" w:cs="Tahoma"/>
          <w:color w:val="000000"/>
          <w:sz w:val="14"/>
          <w:szCs w:val="14"/>
          <w:shd w:val="clear" w:color="auto" w:fill="FFFFFF"/>
          <w:lang w:eastAsia="es-ES"/>
        </w:rPr>
        <w:lastRenderedPageBreak/>
        <w:t>habilitará su utilización en el casillero 915, de los formularios de declaración de impuestos.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 En caso de que el contribuyente mantenga saldos previos en su cuenta única de valores para el pago de impuestos de distintas fuentes, estos valores se imputarán posteriormente al uso de los Títulos del Banco Central (TBC) que hayan sido endosados al Servicio de Rentas Internas.</w:t>
      </w:r>
    </w:p>
    <w:p w:rsidR="00275878"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En caso de existir deudas firmes registradas en el Servicio de Rentas Internas o medidas cautelares interpuestas a los contribuyentes beneficiarios de los Títulos del Banco Central (TBC), la habilitación del Título del Banco Central (TBC) iniciará una vez finalizado el análisis </w:t>
      </w:r>
      <w:r w:rsidRPr="00153EF0">
        <w:rPr>
          <w:rFonts w:ascii="Tahoma" w:eastAsia="Times New Roman" w:hAnsi="Tahoma" w:cs="Tahoma"/>
          <w:color w:val="000000"/>
          <w:sz w:val="14"/>
          <w:szCs w:val="14"/>
          <w:shd w:val="clear" w:color="auto" w:fill="FFFFFF"/>
          <w:lang w:eastAsia="es-ES"/>
        </w:rPr>
        <w:lastRenderedPageBreak/>
        <w:t>correspondiente respecto de una posible compensación o retención de los valores adeudados, de conformidad con la Ley.</w:t>
      </w:r>
    </w:p>
    <w:p w:rsidR="00EE2CFE"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DISPOSICIÓN FINAL.- </w:t>
      </w:r>
      <w:r w:rsidRPr="00153EF0">
        <w:rPr>
          <w:rFonts w:ascii="Tahoma" w:eastAsia="Times New Roman" w:hAnsi="Tahoma" w:cs="Tahoma"/>
          <w:color w:val="000000"/>
          <w:sz w:val="14"/>
          <w:szCs w:val="14"/>
          <w:shd w:val="clear" w:color="auto" w:fill="FFFFFF"/>
          <w:lang w:eastAsia="es-ES"/>
        </w:rPr>
        <w:t>La presente Resolución entrará en vigencia a partir de su suscripción, independientemente de su publicación en el Registro Oficial.</w:t>
      </w:r>
    </w:p>
    <w:p w:rsidR="004038C7" w:rsidRPr="00153EF0" w:rsidRDefault="004038C7" w:rsidP="00047711">
      <w:pPr>
        <w:spacing w:after="0" w:line="240" w:lineRule="auto"/>
        <w:ind w:left="142"/>
        <w:jc w:val="both"/>
        <w:rPr>
          <w:rFonts w:ascii="Tahoma" w:eastAsia="Times New Roman" w:hAnsi="Tahoma" w:cs="Tahoma"/>
          <w:color w:val="000000"/>
          <w:sz w:val="14"/>
          <w:szCs w:val="14"/>
          <w:shd w:val="clear" w:color="auto" w:fill="FFFFFF"/>
          <w:lang w:eastAsia="es-ES"/>
        </w:rPr>
      </w:pPr>
    </w:p>
    <w:p w:rsidR="00275878" w:rsidRPr="00153EF0" w:rsidRDefault="004038C7" w:rsidP="00047711">
      <w:pPr>
        <w:spacing w:after="0" w:line="240" w:lineRule="auto"/>
        <w:ind w:left="142"/>
        <w:jc w:val="both"/>
        <w:rPr>
          <w:rFonts w:ascii="Tahoma" w:hAnsi="Tahoma" w:cs="Tahoma"/>
          <w:color w:val="000000"/>
          <w:sz w:val="14"/>
          <w:szCs w:val="14"/>
          <w:shd w:val="clear" w:color="auto" w:fill="FFFFFF"/>
        </w:rPr>
      </w:pPr>
      <w:r w:rsidRPr="00153EF0">
        <w:rPr>
          <w:rFonts w:ascii="Tahoma" w:hAnsi="Tahoma" w:cs="Tahoma"/>
          <w:color w:val="000000"/>
          <w:sz w:val="14"/>
          <w:szCs w:val="14"/>
          <w:shd w:val="clear" w:color="auto" w:fill="FFFFFF"/>
        </w:rPr>
        <w:t>Comuníquese y publíquese.</w:t>
      </w:r>
    </w:p>
    <w:p w:rsidR="004038C7" w:rsidRPr="00153EF0" w:rsidRDefault="004038C7" w:rsidP="00047711">
      <w:pPr>
        <w:spacing w:after="0" w:line="240" w:lineRule="auto"/>
        <w:ind w:left="142"/>
        <w:jc w:val="both"/>
        <w:rPr>
          <w:rFonts w:ascii="Tahoma" w:hAnsi="Tahoma" w:cs="Tahoma"/>
          <w:color w:val="000000"/>
          <w:sz w:val="14"/>
          <w:szCs w:val="14"/>
          <w:shd w:val="clear" w:color="auto" w:fill="FFFFFF"/>
        </w:rPr>
      </w:pPr>
      <w:r w:rsidRPr="00153EF0">
        <w:rPr>
          <w:rFonts w:ascii="Tahoma" w:hAnsi="Tahoma" w:cs="Tahoma"/>
          <w:color w:val="000000"/>
          <w:sz w:val="14"/>
          <w:szCs w:val="14"/>
        </w:rPr>
        <w:br/>
      </w:r>
      <w:r w:rsidRPr="00153EF0">
        <w:rPr>
          <w:rFonts w:ascii="Tahoma" w:hAnsi="Tahoma" w:cs="Tahoma"/>
          <w:color w:val="000000"/>
          <w:sz w:val="14"/>
          <w:szCs w:val="14"/>
          <w:shd w:val="clear" w:color="auto" w:fill="FFFFFF"/>
        </w:rPr>
        <w:t>Dado en Quito D.M., a 07 de enero de 2016.</w:t>
      </w:r>
    </w:p>
    <w:p w:rsidR="00047711" w:rsidRDefault="00047711" w:rsidP="003D737D">
      <w:pPr>
        <w:spacing w:after="0" w:line="240" w:lineRule="auto"/>
        <w:ind w:left="360"/>
        <w:jc w:val="both"/>
        <w:rPr>
          <w:rFonts w:ascii="Tahoma" w:hAnsi="Tahoma" w:cs="Tahoma"/>
          <w:color w:val="000000"/>
          <w:sz w:val="27"/>
          <w:szCs w:val="27"/>
          <w:shd w:val="clear" w:color="auto" w:fill="FFFFFF"/>
        </w:rPr>
        <w:sectPr w:rsidR="00047711" w:rsidSect="00A76978">
          <w:type w:val="continuous"/>
          <w:pgSz w:w="11906" w:h="16838"/>
          <w:pgMar w:top="1175" w:right="849" w:bottom="426" w:left="1276" w:header="709" w:footer="708" w:gutter="0"/>
          <w:cols w:num="2" w:space="286"/>
          <w:docGrid w:linePitch="360"/>
        </w:sectPr>
      </w:pPr>
    </w:p>
    <w:p w:rsidR="003D737D" w:rsidRDefault="003D737D" w:rsidP="003D737D">
      <w:pPr>
        <w:spacing w:after="0" w:line="240" w:lineRule="auto"/>
        <w:ind w:left="360"/>
        <w:jc w:val="both"/>
        <w:rPr>
          <w:rFonts w:ascii="Tahoma" w:hAnsi="Tahoma" w:cs="Tahoma"/>
          <w:color w:val="000000"/>
          <w:sz w:val="27"/>
          <w:szCs w:val="27"/>
          <w:shd w:val="clear" w:color="auto" w:fill="FFFFFF"/>
        </w:rPr>
      </w:pPr>
    </w:p>
    <w:p w:rsidR="004C4C63" w:rsidRDefault="004C4C63" w:rsidP="003D737D">
      <w:pPr>
        <w:spacing w:after="0" w:line="240" w:lineRule="auto"/>
        <w:ind w:left="360"/>
        <w:jc w:val="both"/>
        <w:rPr>
          <w:rFonts w:ascii="Tahoma" w:hAnsi="Tahoma" w:cs="Tahoma"/>
          <w:color w:val="000000"/>
          <w:sz w:val="27"/>
          <w:szCs w:val="27"/>
          <w:shd w:val="clear" w:color="auto" w:fill="FFFFFF"/>
        </w:rPr>
      </w:pPr>
      <w:bookmarkStart w:id="0" w:name="_GoBack"/>
    </w:p>
    <w:p w:rsidR="004038C7" w:rsidRPr="003D737D" w:rsidRDefault="005B5D4F" w:rsidP="005B5D4F">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Suplemento Registro Oficial </w:t>
      </w:r>
      <w:r w:rsidR="004038C7" w:rsidRPr="003D737D">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675,</w:t>
      </w:r>
      <w:r w:rsidR="00275878" w:rsidRPr="003D737D">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4038C7" w:rsidRPr="003D737D">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Viernes 22 de Enero de 2016</w:t>
      </w:r>
    </w:p>
    <w:p w:rsidR="004038C7" w:rsidRPr="00634277" w:rsidRDefault="004038C7" w:rsidP="00634277">
      <w:pPr>
        <w:spacing w:after="0" w:line="240" w:lineRule="auto"/>
        <w:rPr>
          <w:rFonts w:ascii="Tahoma" w:hAnsi="Tahoma" w:cs="Tahoma"/>
          <w:sz w:val="16"/>
          <w:szCs w:val="16"/>
        </w:rPr>
      </w:pPr>
    </w:p>
    <w:p w:rsidR="004038C7" w:rsidRPr="00153EF0" w:rsidRDefault="00153EF0" w:rsidP="00153EF0">
      <w:pPr>
        <w:pStyle w:val="Prrafodelista"/>
        <w:numPr>
          <w:ilvl w:val="0"/>
          <w:numId w:val="9"/>
        </w:numPr>
        <w:spacing w:after="0" w:line="240" w:lineRule="auto"/>
        <w:rPr>
          <w:rFonts w:ascii="Tahoma" w:eastAsia="Times New Roman" w:hAnsi="Tahoma" w:cs="Tahoma"/>
          <w:color w:val="000000"/>
          <w:sz w:val="18"/>
          <w:szCs w:val="18"/>
          <w:shd w:val="clear" w:color="auto" w:fill="FFFFFF"/>
          <w:lang w:eastAsia="es-ES"/>
        </w:rPr>
      </w:pPr>
      <w:r>
        <w:rPr>
          <w:rFonts w:ascii="Tahoma" w:eastAsia="Times New Roman" w:hAnsi="Tahoma" w:cs="Tahoma"/>
          <w:b/>
          <w:color w:val="0070C0"/>
          <w:sz w:val="18"/>
          <w:szCs w:val="18"/>
          <w:shd w:val="clear" w:color="auto" w:fill="FFFFFF"/>
          <w:lang w:eastAsia="es-ES"/>
        </w:rPr>
        <w:t xml:space="preserve">Circular </w:t>
      </w:r>
      <w:hyperlink r:id="rId20" w:history="1">
        <w:r w:rsidR="004038C7" w:rsidRPr="00153EF0">
          <w:rPr>
            <w:rFonts w:ascii="Tahoma" w:eastAsia="Times New Roman" w:hAnsi="Tahoma" w:cs="Tahoma"/>
            <w:b/>
            <w:color w:val="0070C0"/>
            <w:sz w:val="18"/>
            <w:szCs w:val="18"/>
            <w:shd w:val="clear" w:color="auto" w:fill="FFFFFF"/>
            <w:lang w:eastAsia="es-ES"/>
          </w:rPr>
          <w:t>NAC-DGECCGC16-00000002</w:t>
        </w:r>
      </w:hyperlink>
      <w:r w:rsidR="004038C7" w:rsidRPr="00153EF0">
        <w:rPr>
          <w:rFonts w:ascii="Tahoma" w:eastAsia="Times New Roman" w:hAnsi="Tahoma" w:cs="Tahoma"/>
          <w:b/>
          <w:color w:val="0070C0"/>
          <w:sz w:val="18"/>
          <w:szCs w:val="18"/>
          <w:shd w:val="clear" w:color="auto" w:fill="FFFFFF"/>
          <w:lang w:eastAsia="es-ES"/>
        </w:rPr>
        <w:t>:</w:t>
      </w:r>
      <w:r w:rsidR="004038C7" w:rsidRPr="00153EF0">
        <w:rPr>
          <w:rFonts w:ascii="Tahoma" w:eastAsia="Times New Roman" w:hAnsi="Tahoma" w:cs="Tahoma"/>
          <w:color w:val="0070C0"/>
          <w:sz w:val="18"/>
          <w:szCs w:val="18"/>
          <w:shd w:val="clear" w:color="auto" w:fill="FFFFFF"/>
          <w:lang w:eastAsia="es-ES"/>
        </w:rPr>
        <w:t xml:space="preserve"> </w:t>
      </w:r>
      <w:r w:rsidR="004038C7" w:rsidRPr="00153EF0">
        <w:rPr>
          <w:rFonts w:ascii="Tahoma" w:eastAsia="Times New Roman" w:hAnsi="Tahoma" w:cs="Tahoma"/>
          <w:color w:val="000000"/>
          <w:sz w:val="18"/>
          <w:szCs w:val="18"/>
          <w:shd w:val="clear" w:color="auto" w:fill="FFFFFF"/>
          <w:lang w:eastAsia="es-ES"/>
        </w:rPr>
        <w:t>A los sujetos pasivos del impuesto a la renta que se deduzcan rubros por concepto de promoción y publicidad.</w:t>
      </w:r>
    </w:p>
    <w:p w:rsidR="004038C7" w:rsidRPr="00634277" w:rsidRDefault="004038C7" w:rsidP="00634277">
      <w:pPr>
        <w:spacing w:after="0" w:line="240" w:lineRule="auto"/>
        <w:rPr>
          <w:rFonts w:ascii="Tahoma" w:eastAsia="Times New Roman" w:hAnsi="Tahoma" w:cs="Tahoma"/>
          <w:color w:val="000000"/>
          <w:sz w:val="16"/>
          <w:szCs w:val="16"/>
          <w:shd w:val="clear" w:color="auto" w:fill="FFFFFF"/>
          <w:lang w:eastAsia="es-ES"/>
        </w:rPr>
      </w:pPr>
    </w:p>
    <w:p w:rsidR="00047711" w:rsidRDefault="00047711" w:rsidP="00275878">
      <w:pPr>
        <w:spacing w:after="0" w:line="240" w:lineRule="auto"/>
        <w:jc w:val="both"/>
        <w:rPr>
          <w:rFonts w:ascii="Tahoma" w:eastAsia="Times New Roman" w:hAnsi="Tahoma" w:cs="Tahoma"/>
          <w:color w:val="000000"/>
          <w:sz w:val="16"/>
          <w:szCs w:val="16"/>
          <w:shd w:val="clear" w:color="auto" w:fill="FFFFFF"/>
          <w:lang w:eastAsia="es-ES"/>
        </w:rPr>
        <w:sectPr w:rsidR="00047711" w:rsidSect="00A76978">
          <w:type w:val="continuous"/>
          <w:pgSz w:w="11906" w:h="16838"/>
          <w:pgMar w:top="1175" w:right="849" w:bottom="1276" w:left="1276" w:header="709" w:footer="708" w:gutter="0"/>
          <w:cols w:space="708"/>
          <w:docGrid w:linePitch="360"/>
        </w:sectPr>
      </w:pP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lastRenderedPageBreak/>
        <w:t>El artículo 226 de la Constitución de la República del Ecuador señala que las instituciones del Estado, sus organismos, dependencias, las servidoras o servidores públicos y las personas que actúen en virtud de una potestad estatal, ejercerán solamente las competencias y facultades que les sean atribuidas en la Constitución y la ley.</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artículo 300 de la Constitución de la República del Ecuador establece que el régimen tributario se regirá por los principios de generalidad, progresividad, eficiencia, simplicidad administrativa, irretroactividad, equidad, transparencia y suficiencia recaudatoria.</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De acuerdo a lo establecido en el artículo 7 del Código Tributario, en concordancia con el artículo 8 de la Ley de Creación del Servicio de Rentas Internas, es facultad de la Directora o Director General del Servicio de Rentas Internas expedir las resoluciones, circulares o disposiciones de carácter general y obligatorio necesarias para la aplicación de las normas legales y reglamentarias.</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tercer inciso del artículo 98 de la Ley de Comunicación señala que se entiende por producción de publicidad a los comerciales de televisión y cine, cuñas para radio, fotografías para publicidad estática, o cualquier otra pieza audiovisual utilizada para fines publicitarios.</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primer inciso del artículo 10 de la Ley de Régimen Tributario Interno señala que en general, con el propósito de determinar la base imponible sujeta al impuesto a la renta, se deducirán los gastos que se efectúen con el propósito de obtener, mantener y mejorar los ingresos de fuente ecuatoriana que no estén exentos.</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lastRenderedPageBreak/>
        <w:t>El número 19 del artículo 10 de la Ley de Régimen Tributario Interno señala que en particular serán deducibles de la base imponible del impuesto a la renta los costos y gastos por promoción y publicidad de conformidad con las excepciones, límites, segmentación y condiciones establecidas en el Reglamento.</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La literal e) del numeral 11 del artículo 28 del Reglamento para la aplicación de la Ley de Régimen Tributario Interno contempla que los costos y gastos incurridos para la promoción y publicidad de bienes y servicios serán deducibles hasta un máximo del 4% del total de ingresos gravados del contribuyente, límite que no será aplicable en el caso de patrocinio y organización de actividades deportivas, entre otras.</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Con fundamento en las disposiciones constitucionales, legales y reglamentarias antes referidas, el Servicio de Rentas Internas recuerda a los sujetos pasivos del impuesto a la renta lo siguiente:</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El límite del 4% del total de ingresos gravados del sujeto pasivo, para la deducibilidad de los costos y gastos de promoción y publicidad, no será aplicable a aquellos incurridos en el patrocinio u organización de actividades deportivas realizadas en el Ecuador, aun cuando la publicidad, se paute de manera directa o por medio de agencias de publicidad, en la transmisión del respectivo evento deportivo.</w:t>
      </w:r>
    </w:p>
    <w:p w:rsidR="00275878" w:rsidRPr="00153EF0" w:rsidRDefault="004038C7"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Comuníquese y publíquese.</w:t>
      </w:r>
    </w:p>
    <w:p w:rsidR="00153EF0" w:rsidRPr="00153EF0" w:rsidRDefault="004038C7" w:rsidP="00153EF0">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Dado en Quito DM, a 18 de enero de 2016.</w:t>
      </w:r>
    </w:p>
    <w:p w:rsidR="00153EF0" w:rsidRPr="00153EF0" w:rsidRDefault="00153EF0" w:rsidP="00153EF0">
      <w:pPr>
        <w:spacing w:after="0" w:line="240" w:lineRule="auto"/>
        <w:jc w:val="both"/>
        <w:rPr>
          <w:rFonts w:ascii="Tahoma" w:eastAsia="Times New Roman" w:hAnsi="Tahoma" w:cs="Tahoma"/>
          <w:b/>
          <w:bCs/>
          <w:caps/>
          <w:color w:val="0070C0"/>
          <w:sz w:val="14"/>
          <w:szCs w:val="1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153EF0" w:rsidRDefault="00153EF0" w:rsidP="00153EF0">
      <w:pPr>
        <w:spacing w:after="0" w:line="240" w:lineRule="auto"/>
        <w:jc w:val="center"/>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sectPr w:rsidR="00153EF0" w:rsidSect="00A76978">
          <w:type w:val="continuous"/>
          <w:pgSz w:w="11906" w:h="16838"/>
          <w:pgMar w:top="1175" w:right="849" w:bottom="1276" w:left="1276" w:header="709" w:footer="708" w:gutter="0"/>
          <w:cols w:num="2" w:space="282"/>
          <w:docGrid w:linePitch="360"/>
        </w:sectPr>
      </w:pPr>
    </w:p>
    <w:bookmarkEnd w:id="0"/>
    <w:p w:rsidR="00153EF0" w:rsidRDefault="00153EF0" w:rsidP="00153EF0">
      <w:pPr>
        <w:spacing w:after="0" w:line="240" w:lineRule="auto"/>
        <w:jc w:val="center"/>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pPr>
    </w:p>
    <w:p w:rsidR="00153EF0" w:rsidRDefault="00153EF0" w:rsidP="00153EF0">
      <w:pPr>
        <w:spacing w:after="0" w:line="240" w:lineRule="auto"/>
        <w:jc w:val="center"/>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53EF0">
        <w:rPr>
          <w:rFonts w:ascii="Tahoma" w:eastAsia="Times New Roman" w:hAnsi="Tahoma" w:cs="Tahoma"/>
          <w:b/>
          <w:bCs/>
          <w:caps/>
          <w:color w:val="0070C0"/>
          <w:sz w:val="28"/>
          <w:szCs w:val="24"/>
          <w:lang w:eastAsia="es-ES"/>
          <w14:reflection w14:blurRad="12700" w14:stA="28000" w14:stPos="0" w14:endA="0" w14:endPos="45000" w14:dist="1003" w14:dir="5400000" w14:fadeDir="5400000" w14:sx="100000" w14:sy="-100000" w14:kx="0" w14:ky="0" w14:algn="bl"/>
          <w14:textOutline w14:w="4495" w14:cap="flat" w14:cmpd="sng" w14:algn="ctr">
            <w14:solidFill>
              <w14:srgbClr w14:val="0070C0"/>
            </w14:solidFill>
            <w14:prstDash w14:val="solid"/>
            <w14:round/>
          </w14:textOutline>
        </w:rPr>
        <w:t>FUNCIÓN DE TRANSPARENCIA Y CONTROL SOCIAL</w:t>
      </w:r>
    </w:p>
    <w:p w:rsidR="00153EF0" w:rsidRPr="00634277" w:rsidRDefault="00153EF0" w:rsidP="00153EF0">
      <w:pPr>
        <w:spacing w:after="0" w:line="240" w:lineRule="auto"/>
        <w:rPr>
          <w:rFonts w:ascii="Tahoma" w:eastAsia="Times New Roman" w:hAnsi="Tahoma" w:cs="Tahoma"/>
          <w:sz w:val="24"/>
          <w:szCs w:val="24"/>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68480" behindDoc="1" locked="0" layoutInCell="1" allowOverlap="1" wp14:anchorId="6B4CB48F" wp14:editId="78B7C410">
                <wp:simplePos x="0" y="0"/>
                <wp:positionH relativeFrom="column">
                  <wp:posOffset>-971881</wp:posOffset>
                </wp:positionH>
                <wp:positionV relativeFrom="paragraph">
                  <wp:posOffset>145415</wp:posOffset>
                </wp:positionV>
                <wp:extent cx="7258050" cy="254441"/>
                <wp:effectExtent l="57150" t="19050" r="38100" b="88900"/>
                <wp:wrapNone/>
                <wp:docPr id="27" name="Rounded Rectangle 27"/>
                <wp:cNvGraphicFramePr/>
                <a:graphic xmlns:a="http://schemas.openxmlformats.org/drawingml/2006/main">
                  <a:graphicData uri="http://schemas.microsoft.com/office/word/2010/wordprocessingShape">
                    <wps:wsp>
                      <wps:cNvSpPr/>
                      <wps:spPr>
                        <a:xfrm>
                          <a:off x="0" y="0"/>
                          <a:ext cx="7258050" cy="254441"/>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7" o:spid="_x0000_s1026" style="position:absolute;margin-left:-76.55pt;margin-top:11.45pt;width:571.5pt;height:20.05pt;z-index:-25164800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AD7D8C" w:rsidRPr="00153EF0" w:rsidRDefault="00047711" w:rsidP="009B6CA7">
      <w:pPr>
        <w:spacing w:after="0" w:line="240" w:lineRule="auto"/>
        <w:rPr>
          <w:rFonts w:ascii="Tahoma" w:eastAsia="Times New Roman" w:hAnsi="Tahoma" w:cs="Tahoma"/>
          <w:b/>
          <w:bCs/>
          <w:color w:val="FFFFFF" w:themeColor="background1"/>
          <w:sz w:val="24"/>
          <w:szCs w:val="16"/>
          <w:lang w:eastAsia="es-ES"/>
        </w:rPr>
      </w:pPr>
      <w:r w:rsidRPr="00153EF0">
        <w:rPr>
          <w:rFonts w:ascii="Tahoma" w:eastAsia="Times New Roman" w:hAnsi="Tahoma" w:cs="Tahoma"/>
          <w:b/>
          <w:bCs/>
          <w:color w:val="FFFFFF" w:themeColor="background1"/>
          <w:sz w:val="24"/>
          <w:szCs w:val="16"/>
          <w:lang w:eastAsia="es-ES"/>
        </w:rPr>
        <w:t>SUPERINTENDENCIA DE COMPAÑÍAS, VALORES Y SEGUROS: </w:t>
      </w:r>
    </w:p>
    <w:p w:rsidR="00047711" w:rsidRDefault="00047711" w:rsidP="009B6CA7">
      <w:p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4038C7" w:rsidRPr="00153EF0" w:rsidRDefault="00AD7D8C" w:rsidP="00153EF0">
      <w:pPr>
        <w:pStyle w:val="Prrafodelista"/>
        <w:numPr>
          <w:ilvl w:val="0"/>
          <w:numId w:val="8"/>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153EF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Registro Oficial </w:t>
      </w:r>
      <w:r w:rsidR="004038C7" w:rsidRPr="00153EF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No. 676,</w:t>
      </w:r>
      <w:r w:rsidR="00275878" w:rsidRPr="00153EF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 xml:space="preserve"> </w:t>
      </w:r>
      <w:r w:rsidR="004038C7" w:rsidRPr="00153EF0">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Lunes 25 de Enero de 2016</w:t>
      </w:r>
    </w:p>
    <w:p w:rsidR="009B6CA7" w:rsidRPr="009B6CA7" w:rsidRDefault="009B6CA7" w:rsidP="009B6CA7">
      <w:p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5850DF" w:rsidRPr="0018394A" w:rsidRDefault="00153EF0" w:rsidP="00153EF0">
      <w:pPr>
        <w:pStyle w:val="Prrafodelista"/>
        <w:numPr>
          <w:ilvl w:val="0"/>
          <w:numId w:val="10"/>
        </w:numPr>
        <w:spacing w:after="0" w:line="240" w:lineRule="auto"/>
        <w:jc w:val="both"/>
        <w:rPr>
          <w:rFonts w:ascii="Tahoma" w:hAnsi="Tahoma" w:cs="Tahoma"/>
          <w:bCs/>
          <w:color w:val="000000"/>
          <w:sz w:val="18"/>
          <w:szCs w:val="16"/>
          <w:shd w:val="clear" w:color="auto" w:fill="FFFFFF"/>
        </w:rPr>
      </w:pPr>
      <w:r w:rsidRPr="0018394A">
        <w:rPr>
          <w:rFonts w:ascii="Tahoma" w:hAnsi="Tahoma" w:cs="Tahoma"/>
          <w:b/>
          <w:bCs/>
          <w:color w:val="0070C0"/>
          <w:sz w:val="18"/>
          <w:szCs w:val="16"/>
          <w:shd w:val="clear" w:color="auto" w:fill="FFFFFF"/>
        </w:rPr>
        <w:t xml:space="preserve">Resolución </w:t>
      </w:r>
      <w:r w:rsidR="005850DF" w:rsidRPr="0018394A">
        <w:rPr>
          <w:rFonts w:ascii="Tahoma" w:hAnsi="Tahoma" w:cs="Tahoma"/>
          <w:b/>
          <w:bCs/>
          <w:color w:val="0070C0"/>
          <w:sz w:val="18"/>
          <w:szCs w:val="16"/>
          <w:shd w:val="clear" w:color="auto" w:fill="FFFFFF"/>
        </w:rPr>
        <w:t>166-2015-F:</w:t>
      </w:r>
      <w:r w:rsidR="005850DF" w:rsidRPr="0018394A">
        <w:rPr>
          <w:rFonts w:ascii="Tahoma" w:hAnsi="Tahoma" w:cs="Tahoma"/>
          <w:bCs/>
          <w:color w:val="0070C0"/>
          <w:sz w:val="18"/>
          <w:szCs w:val="16"/>
          <w:shd w:val="clear" w:color="auto" w:fill="FFFFFF"/>
        </w:rPr>
        <w:t xml:space="preserve"> </w:t>
      </w:r>
      <w:proofErr w:type="spellStart"/>
      <w:r w:rsidR="005850DF" w:rsidRPr="0018394A">
        <w:rPr>
          <w:rFonts w:ascii="Tahoma" w:hAnsi="Tahoma" w:cs="Tahoma"/>
          <w:bCs/>
          <w:color w:val="000000"/>
          <w:sz w:val="18"/>
          <w:szCs w:val="16"/>
          <w:shd w:val="clear" w:color="auto" w:fill="FFFFFF"/>
        </w:rPr>
        <w:t>Expídese</w:t>
      </w:r>
      <w:proofErr w:type="spellEnd"/>
      <w:r w:rsidR="005850DF" w:rsidRPr="0018394A">
        <w:rPr>
          <w:rFonts w:ascii="Tahoma" w:hAnsi="Tahoma" w:cs="Tahoma"/>
          <w:bCs/>
          <w:color w:val="000000"/>
          <w:sz w:val="18"/>
          <w:szCs w:val="16"/>
          <w:shd w:val="clear" w:color="auto" w:fill="FFFFFF"/>
        </w:rPr>
        <w:t xml:space="preserve"> la Norma que regula la definición y las acciones que comprenden la emisión y la operación de tarjetas de crédito, débito, pago y prepago para el sector financiero popular y solidario</w:t>
      </w:r>
    </w:p>
    <w:p w:rsidR="00275878" w:rsidRPr="00153EF0" w:rsidRDefault="00275878" w:rsidP="00153EF0">
      <w:pPr>
        <w:shd w:val="clear" w:color="auto" w:fill="FFFFFF"/>
        <w:spacing w:after="0" w:line="240" w:lineRule="auto"/>
        <w:jc w:val="both"/>
        <w:rPr>
          <w:rFonts w:ascii="Tahoma" w:eastAsia="Times New Roman" w:hAnsi="Tahoma" w:cs="Tahoma"/>
          <w:bCs/>
          <w:color w:val="000000"/>
          <w:sz w:val="16"/>
          <w:szCs w:val="16"/>
          <w:lang w:eastAsia="es-ES"/>
        </w:rPr>
      </w:pPr>
    </w:p>
    <w:p w:rsidR="00153EF0" w:rsidRDefault="00153EF0" w:rsidP="00275878">
      <w:pPr>
        <w:spacing w:after="0" w:line="240" w:lineRule="auto"/>
        <w:jc w:val="center"/>
        <w:rPr>
          <w:rFonts w:ascii="Tahoma" w:eastAsia="Times New Roman" w:hAnsi="Tahoma" w:cs="Tahoma"/>
          <w:b/>
          <w:bCs/>
          <w:color w:val="000000"/>
          <w:sz w:val="16"/>
          <w:szCs w:val="16"/>
          <w:shd w:val="clear" w:color="auto" w:fill="FFFFFF"/>
          <w:lang w:eastAsia="es-ES"/>
        </w:rPr>
        <w:sectPr w:rsidR="00153EF0" w:rsidSect="00A76978">
          <w:type w:val="continuous"/>
          <w:pgSz w:w="11906" w:h="16838"/>
          <w:pgMar w:top="1175" w:right="849" w:bottom="1276" w:left="1276" w:header="709" w:footer="708" w:gutter="0"/>
          <w:cols w:space="708"/>
          <w:docGrid w:linePitch="360"/>
        </w:sectPr>
      </w:pPr>
    </w:p>
    <w:p w:rsidR="00275878" w:rsidRPr="00153EF0" w:rsidRDefault="005850DF" w:rsidP="00275878">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b/>
          <w:bCs/>
          <w:color w:val="000000"/>
          <w:sz w:val="14"/>
          <w:szCs w:val="14"/>
          <w:shd w:val="clear" w:color="auto" w:fill="FFFFFF"/>
          <w:lang w:eastAsia="es-ES"/>
        </w:rPr>
        <w:lastRenderedPageBreak/>
        <w:t>SECCIÓN I.- DEFINICIONES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 </w:t>
      </w:r>
      <w:r w:rsidRPr="00153EF0">
        <w:rPr>
          <w:rFonts w:ascii="Tahoma" w:eastAsia="Times New Roman" w:hAnsi="Tahoma" w:cs="Tahoma"/>
          <w:color w:val="000000"/>
          <w:sz w:val="14"/>
          <w:szCs w:val="14"/>
          <w:shd w:val="clear" w:color="auto" w:fill="FFFFFF"/>
          <w:lang w:eastAsia="es-ES"/>
        </w:rPr>
        <w:t>Para la aplicación de esta norma se considerarán las siguientes definiciones: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 Crédito Diferido: </w:t>
      </w:r>
      <w:r w:rsidRPr="00153EF0">
        <w:rPr>
          <w:rFonts w:ascii="Tahoma" w:eastAsia="Times New Roman" w:hAnsi="Tahoma" w:cs="Tahoma"/>
          <w:color w:val="000000"/>
          <w:sz w:val="14"/>
          <w:szCs w:val="14"/>
          <w:shd w:val="clear" w:color="auto" w:fill="FFFFFF"/>
          <w:lang w:eastAsia="es-ES"/>
        </w:rPr>
        <w:t>Es un acuerdo entre el emisor de la tarjeta de crédito y el establecimiento afiliado, mediante el cual este último acepta el pago diferido de un bien o servicio por parte del tarjetahabiente y descuenta esa cartera con el emisor, que a su vez administra el crédito hasta su cancelación total.</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b) </w:t>
      </w:r>
      <w:r w:rsidRPr="00153EF0">
        <w:rPr>
          <w:rFonts w:ascii="Tahoma" w:eastAsia="Times New Roman" w:hAnsi="Tahoma" w:cs="Tahoma"/>
          <w:b/>
          <w:bCs/>
          <w:color w:val="000000"/>
          <w:sz w:val="14"/>
          <w:szCs w:val="14"/>
          <w:shd w:val="clear" w:color="auto" w:fill="FFFFFF"/>
          <w:lang w:eastAsia="es-ES"/>
        </w:rPr>
        <w:t>Crédito </w:t>
      </w:r>
      <w:r w:rsidRPr="00153EF0">
        <w:rPr>
          <w:rFonts w:ascii="Tahoma" w:eastAsia="Times New Roman" w:hAnsi="Tahoma" w:cs="Tahoma"/>
          <w:color w:val="000000"/>
          <w:sz w:val="14"/>
          <w:szCs w:val="14"/>
          <w:shd w:val="clear" w:color="auto" w:fill="FFFFFF"/>
          <w:lang w:eastAsia="es-ES"/>
        </w:rPr>
        <w:t>Rotativo: Es la línea de crédito con condiciones predeterminadas que ofrece la entidad emisora de tarjetas de crédito, al tarjetahabiente. Los desembolsos a los establecimientos afiliados se hacen contra la presentación de notas de cargo y constituyen utilización de la línea de crédito.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 </w:t>
      </w:r>
      <w:r w:rsidRPr="00153EF0">
        <w:rPr>
          <w:rFonts w:ascii="Tahoma" w:eastAsia="Times New Roman" w:hAnsi="Tahoma" w:cs="Tahoma"/>
          <w:b/>
          <w:bCs/>
          <w:color w:val="000000"/>
          <w:sz w:val="14"/>
          <w:szCs w:val="14"/>
          <w:shd w:val="clear" w:color="auto" w:fill="FFFFFF"/>
          <w:lang w:eastAsia="es-ES"/>
        </w:rPr>
        <w:t>Tarjeta: </w:t>
      </w:r>
      <w:r w:rsidRPr="00153EF0">
        <w:rPr>
          <w:rFonts w:ascii="Tahoma" w:eastAsia="Times New Roman" w:hAnsi="Tahoma" w:cs="Tahoma"/>
          <w:color w:val="000000"/>
          <w:sz w:val="14"/>
          <w:szCs w:val="14"/>
          <w:shd w:val="clear" w:color="auto" w:fill="FFFFFF"/>
          <w:lang w:eastAsia="es-ES"/>
        </w:rPr>
        <w:t>Comprende las tarjetas de crédito, tarjetas de débito, tarjetas de pago y tarjetas prepago.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lastRenderedPageBreak/>
        <w:br/>
      </w:r>
      <w:r w:rsidRPr="00153EF0">
        <w:rPr>
          <w:rFonts w:ascii="Tahoma" w:eastAsia="Times New Roman" w:hAnsi="Tahoma" w:cs="Tahoma"/>
          <w:color w:val="000000"/>
          <w:sz w:val="14"/>
          <w:szCs w:val="14"/>
          <w:shd w:val="clear" w:color="auto" w:fill="FFFFFF"/>
          <w:lang w:eastAsia="es-ES"/>
        </w:rPr>
        <w:t>d) </w:t>
      </w:r>
      <w:r w:rsidRPr="00153EF0">
        <w:rPr>
          <w:rFonts w:ascii="Tahoma" w:eastAsia="Times New Roman" w:hAnsi="Tahoma" w:cs="Tahoma"/>
          <w:b/>
          <w:bCs/>
          <w:color w:val="000000"/>
          <w:sz w:val="14"/>
          <w:szCs w:val="14"/>
          <w:shd w:val="clear" w:color="auto" w:fill="FFFFFF"/>
          <w:lang w:eastAsia="es-ES"/>
        </w:rPr>
        <w:t>Tarjeta de Crédito:</w:t>
      </w:r>
      <w:r w:rsidRPr="00153EF0">
        <w:rPr>
          <w:rFonts w:ascii="Tahoma" w:eastAsia="Times New Roman" w:hAnsi="Tahoma" w:cs="Tahoma"/>
          <w:color w:val="000000"/>
          <w:sz w:val="14"/>
          <w:szCs w:val="14"/>
          <w:shd w:val="clear" w:color="auto" w:fill="FFFFFF"/>
          <w:lang w:eastAsia="es-ES"/>
        </w:rPr>
        <w:t> se entenderá al documento emitido por una entidad autorizada por la Superintendencia de Economía Popular y Solidaria, que le permita a su titular o usuario, bajo una línea de crédito concedida por el emisor, adquirir bienes o pagar servicios en establecimientos que, mediante un contrato, se afilian a un sistema, comprometiéndose por ello a realizar tales ventas o servicios. La tarjeta de crédito puede ser de afinidad, de afinidad de sistema cerrado, de cargo, de circulación general, o de sistema cerrado.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 </w:t>
      </w:r>
      <w:r w:rsidRPr="00153EF0">
        <w:rPr>
          <w:rFonts w:ascii="Tahoma" w:eastAsia="Times New Roman" w:hAnsi="Tahoma" w:cs="Tahoma"/>
          <w:b/>
          <w:bCs/>
          <w:color w:val="000000"/>
          <w:sz w:val="14"/>
          <w:szCs w:val="14"/>
          <w:shd w:val="clear" w:color="auto" w:fill="FFFFFF"/>
          <w:lang w:eastAsia="es-ES"/>
        </w:rPr>
        <w:t>Tarjeta de afinidad:</w:t>
      </w:r>
      <w:r w:rsidRPr="00153EF0">
        <w:rPr>
          <w:rFonts w:ascii="Tahoma" w:eastAsia="Times New Roman" w:hAnsi="Tahoma" w:cs="Tahoma"/>
          <w:color w:val="000000"/>
          <w:sz w:val="14"/>
          <w:szCs w:val="14"/>
          <w:shd w:val="clear" w:color="auto" w:fill="FFFFFF"/>
          <w:lang w:eastAsia="es-ES"/>
        </w:rPr>
        <w:t> También denominadas de marca compartida o </w:t>
      </w:r>
      <w:proofErr w:type="spellStart"/>
      <w:r w:rsidRPr="00153EF0">
        <w:rPr>
          <w:rFonts w:ascii="Tahoma" w:eastAsia="Times New Roman" w:hAnsi="Tahoma" w:cs="Tahoma"/>
          <w:i/>
          <w:iCs/>
          <w:color w:val="000000"/>
          <w:sz w:val="14"/>
          <w:szCs w:val="14"/>
          <w:shd w:val="clear" w:color="auto" w:fill="FFFFFF"/>
          <w:lang w:eastAsia="es-ES"/>
        </w:rPr>
        <w:t>cobranding</w:t>
      </w:r>
      <w:proofErr w:type="spellEnd"/>
      <w:r w:rsidRPr="00153EF0">
        <w:rPr>
          <w:rFonts w:ascii="Tahoma" w:eastAsia="Times New Roman" w:hAnsi="Tahoma" w:cs="Tahoma"/>
          <w:i/>
          <w:iCs/>
          <w:color w:val="000000"/>
          <w:sz w:val="14"/>
          <w:szCs w:val="14"/>
          <w:shd w:val="clear" w:color="auto" w:fill="FFFFFF"/>
          <w:lang w:eastAsia="es-ES"/>
        </w:rPr>
        <w:t> </w:t>
      </w:r>
      <w:r w:rsidRPr="00153EF0">
        <w:rPr>
          <w:rFonts w:ascii="Tahoma" w:eastAsia="Times New Roman" w:hAnsi="Tahoma" w:cs="Tahoma"/>
          <w:color w:val="000000"/>
          <w:sz w:val="14"/>
          <w:szCs w:val="14"/>
          <w:shd w:val="clear" w:color="auto" w:fill="FFFFFF"/>
          <w:lang w:eastAsia="es-ES"/>
        </w:rPr>
        <w:t>o de afinidad de circulación general, son aquellas emitidas por una entidad con convenio con un tercero y que brindan las prestaciones de la tarjeta de crédito del emisor y las prestaciones del tercero para los tarjetahabientes.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00153EF0" w:rsidRPr="00153EF0">
        <w:rPr>
          <w:rFonts w:ascii="Tahoma" w:eastAsia="Times New Roman" w:hAnsi="Tahoma" w:cs="Tahoma"/>
          <w:color w:val="000000"/>
          <w:sz w:val="14"/>
          <w:szCs w:val="14"/>
          <w:shd w:val="clear" w:color="auto" w:fill="FFFFFF"/>
          <w:lang w:eastAsia="es-ES"/>
        </w:rPr>
        <w:t>f</w:t>
      </w:r>
      <w:r w:rsidRPr="00153EF0">
        <w:rPr>
          <w:rFonts w:ascii="Tahoma" w:eastAsia="Times New Roman" w:hAnsi="Tahoma" w:cs="Tahoma"/>
          <w:color w:val="000000"/>
          <w:sz w:val="14"/>
          <w:szCs w:val="14"/>
          <w:shd w:val="clear" w:color="auto" w:fill="FFFFFF"/>
          <w:lang w:eastAsia="es-ES"/>
        </w:rPr>
        <w:t>) </w:t>
      </w:r>
      <w:r w:rsidRPr="00153EF0">
        <w:rPr>
          <w:rFonts w:ascii="Tahoma" w:eastAsia="Times New Roman" w:hAnsi="Tahoma" w:cs="Tahoma"/>
          <w:b/>
          <w:bCs/>
          <w:color w:val="000000"/>
          <w:sz w:val="14"/>
          <w:szCs w:val="14"/>
          <w:shd w:val="clear" w:color="auto" w:fill="FFFFFF"/>
          <w:lang w:eastAsia="es-ES"/>
        </w:rPr>
        <w:t>Tarjeta de afinidad de sistema cerrado:</w:t>
      </w:r>
      <w:r w:rsidRPr="00153EF0">
        <w:rPr>
          <w:rFonts w:ascii="Tahoma" w:eastAsia="Times New Roman" w:hAnsi="Tahoma" w:cs="Tahoma"/>
          <w:color w:val="000000"/>
          <w:sz w:val="14"/>
          <w:szCs w:val="14"/>
          <w:shd w:val="clear" w:color="auto" w:fill="FFFFFF"/>
          <w:lang w:eastAsia="es-ES"/>
        </w:rPr>
        <w:t> También denominadas de marca compartida de sistema cerrado o </w:t>
      </w:r>
      <w:proofErr w:type="spellStart"/>
      <w:r w:rsidRPr="00153EF0">
        <w:rPr>
          <w:rFonts w:ascii="Tahoma" w:eastAsia="Times New Roman" w:hAnsi="Tahoma" w:cs="Tahoma"/>
          <w:i/>
          <w:iCs/>
          <w:color w:val="000000"/>
          <w:sz w:val="14"/>
          <w:szCs w:val="14"/>
          <w:shd w:val="clear" w:color="auto" w:fill="FFFFFF"/>
          <w:lang w:eastAsia="es-ES"/>
        </w:rPr>
        <w:t>cobranding</w:t>
      </w:r>
      <w:proofErr w:type="spellEnd"/>
      <w:r w:rsidRPr="00153EF0">
        <w:rPr>
          <w:rFonts w:ascii="Tahoma" w:eastAsia="Times New Roman" w:hAnsi="Tahoma" w:cs="Tahoma"/>
          <w:i/>
          <w:iCs/>
          <w:color w:val="000000"/>
          <w:sz w:val="14"/>
          <w:szCs w:val="14"/>
          <w:shd w:val="clear" w:color="auto" w:fill="FFFFFF"/>
          <w:lang w:eastAsia="es-ES"/>
        </w:rPr>
        <w:t> </w:t>
      </w:r>
      <w:r w:rsidRPr="00153EF0">
        <w:rPr>
          <w:rFonts w:ascii="Tahoma" w:eastAsia="Times New Roman" w:hAnsi="Tahoma" w:cs="Tahoma"/>
          <w:color w:val="000000"/>
          <w:sz w:val="14"/>
          <w:szCs w:val="14"/>
          <w:shd w:val="clear" w:color="auto" w:fill="FFFFFF"/>
          <w:lang w:eastAsia="es-ES"/>
        </w:rPr>
        <w:t xml:space="preserve">de sistema cerrado o de </w:t>
      </w:r>
      <w:r w:rsidRPr="00153EF0">
        <w:rPr>
          <w:rFonts w:ascii="Tahoma" w:eastAsia="Times New Roman" w:hAnsi="Tahoma" w:cs="Tahoma"/>
          <w:color w:val="000000"/>
          <w:sz w:val="14"/>
          <w:szCs w:val="14"/>
          <w:shd w:val="clear" w:color="auto" w:fill="FFFFFF"/>
          <w:lang w:eastAsia="es-ES"/>
        </w:rPr>
        <w:lastRenderedPageBreak/>
        <w:t>afinidad de circulación restringida, son aquellas emitidas por una institución del sistema financiero con convenio con terceros (marca de la tarjeta y establecimiento) y que brindan a los tarjetahabientes exclusivamente las prestaciones del establecimiento.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g) </w:t>
      </w:r>
      <w:r w:rsidRPr="00153EF0">
        <w:rPr>
          <w:rFonts w:ascii="Tahoma" w:eastAsia="Times New Roman" w:hAnsi="Tahoma" w:cs="Tahoma"/>
          <w:b/>
          <w:bCs/>
          <w:color w:val="000000"/>
          <w:sz w:val="14"/>
          <w:szCs w:val="14"/>
          <w:shd w:val="clear" w:color="auto" w:fill="FFFFFF"/>
          <w:lang w:eastAsia="es-ES"/>
        </w:rPr>
        <w:t>Tarjeta de cargo: </w:t>
      </w:r>
      <w:r w:rsidRPr="00153EF0">
        <w:rPr>
          <w:rFonts w:ascii="Tahoma" w:eastAsia="Times New Roman" w:hAnsi="Tahoma" w:cs="Tahoma"/>
          <w:color w:val="000000"/>
          <w:sz w:val="14"/>
          <w:szCs w:val="14"/>
          <w:shd w:val="clear" w:color="auto" w:fill="FFFFFF"/>
          <w:lang w:eastAsia="es-ES"/>
        </w:rPr>
        <w:t>Aquella en virtud de la cual el tarjetahabiente adquiere algún bien u obtiene algún servicio, sin que a la fecha de su pago pueda acceder a línea de crédito alguna. Al igual que las tarjetas de crédito, pueden ser de circulación general o restringida.</w:t>
      </w:r>
    </w:p>
    <w:p w:rsidR="0018394A"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h) Tarjetas de circulación general: </w:t>
      </w:r>
      <w:r w:rsidRPr="00153EF0">
        <w:rPr>
          <w:rFonts w:ascii="Tahoma" w:eastAsia="Times New Roman" w:hAnsi="Tahoma" w:cs="Tahoma"/>
          <w:color w:val="000000"/>
          <w:sz w:val="14"/>
          <w:szCs w:val="14"/>
          <w:shd w:val="clear" w:color="auto" w:fill="FFFFFF"/>
          <w:lang w:eastAsia="es-ES"/>
        </w:rPr>
        <w:t>Son aquellas que pueden ser utilizadas en más de un establecimiento.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i) Tarjeta de débito o pago: </w:t>
      </w:r>
      <w:r w:rsidRPr="00153EF0">
        <w:rPr>
          <w:rFonts w:ascii="Tahoma" w:eastAsia="Times New Roman" w:hAnsi="Tahoma" w:cs="Tahoma"/>
          <w:color w:val="000000"/>
          <w:sz w:val="14"/>
          <w:szCs w:val="14"/>
          <w:shd w:val="clear" w:color="auto" w:fill="FFFFFF"/>
          <w:lang w:eastAsia="es-ES"/>
        </w:rPr>
        <w:t>Aquella por medio de la cual se cancela la adquisición de un bien o servicio, así como se retira dinero en efectivo, con cargo a una cuenta de depósito a la vista en la entidad emisora.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j) Tarjeta de prepago: </w:t>
      </w:r>
      <w:r w:rsidRPr="00153EF0">
        <w:rPr>
          <w:rFonts w:ascii="Tahoma" w:eastAsia="Times New Roman" w:hAnsi="Tahoma" w:cs="Tahoma"/>
          <w:color w:val="000000"/>
          <w:sz w:val="14"/>
          <w:szCs w:val="14"/>
          <w:shd w:val="clear" w:color="auto" w:fill="FFFFFF"/>
          <w:lang w:eastAsia="es-ES"/>
        </w:rPr>
        <w:t>Aquella emitida al portador en la cual el titular de una cuenta de una cooperativa de ahorro y crédito, acredita valores con cargo a su cuenta para el pago de consumo de bienes y servicios o, retiro de dinero en ventanilla y cajeros automáticos. Esta no necesariamente está vinculada al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k) Tarjeta de sistema cerrado: </w:t>
      </w:r>
      <w:r w:rsidRPr="00153EF0">
        <w:rPr>
          <w:rFonts w:ascii="Tahoma" w:eastAsia="Times New Roman" w:hAnsi="Tahoma" w:cs="Tahoma"/>
          <w:color w:val="000000"/>
          <w:sz w:val="14"/>
          <w:szCs w:val="14"/>
          <w:shd w:val="clear" w:color="auto" w:fill="FFFFFF"/>
          <w:lang w:eastAsia="es-ES"/>
        </w:rPr>
        <w:t>También denominada de circulación restringida, es aquella emitida por una entidad con convenio con un tercero (establecimiento) y que brinda a los tarjetahabientes las prestaciones de aquel.</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 </w:t>
      </w:r>
      <w:r w:rsidRPr="00153EF0">
        <w:rPr>
          <w:rFonts w:ascii="Tahoma" w:eastAsia="Times New Roman" w:hAnsi="Tahoma" w:cs="Tahoma"/>
          <w:color w:val="000000"/>
          <w:sz w:val="14"/>
          <w:szCs w:val="14"/>
          <w:shd w:val="clear" w:color="auto" w:fill="FFFFFF"/>
          <w:lang w:eastAsia="es-ES"/>
        </w:rPr>
        <w:t>Las cooperativas de ahorro y crédito podrán actuar como emisores u operadores de tarjetas de débito, tarjetas de pago o tarjeta de prepago previa autorización de la Superintendencia de Economía Popular y Solidaria.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3.- </w:t>
      </w:r>
      <w:r w:rsidRPr="00153EF0">
        <w:rPr>
          <w:rFonts w:ascii="Tahoma" w:eastAsia="Times New Roman" w:hAnsi="Tahoma" w:cs="Tahoma"/>
          <w:color w:val="000000"/>
          <w:sz w:val="14"/>
          <w:szCs w:val="14"/>
          <w:shd w:val="clear" w:color="auto" w:fill="FFFFFF"/>
          <w:lang w:eastAsia="es-ES"/>
        </w:rPr>
        <w:t>Las cooperativas de ahorro y crédito del segmento 1 podrán actuar como emisores u operadores de tarjetas de crédito previa autorización de la Superintendencia de Economía Popular y Solidaria.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4.- </w:t>
      </w:r>
      <w:r w:rsidRPr="00153EF0">
        <w:rPr>
          <w:rFonts w:ascii="Tahoma" w:eastAsia="Times New Roman" w:hAnsi="Tahoma" w:cs="Tahoma"/>
          <w:color w:val="000000"/>
          <w:sz w:val="14"/>
          <w:szCs w:val="14"/>
          <w:shd w:val="clear" w:color="auto" w:fill="FFFFFF"/>
          <w:lang w:eastAsia="es-ES"/>
        </w:rPr>
        <w:t>Las entidades debidamente autorizadas por el Banco Central del Ecuador para operar como sistemas auxiliares de pagos e infraestructura de pagos, podrán actuar como operadores de tarjetas para las cooperativas de ahorro y crédito.</w:t>
      </w:r>
    </w:p>
    <w:p w:rsidR="00275878" w:rsidRPr="00153EF0" w:rsidRDefault="005850DF" w:rsidP="00275878">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SECCIÓN II.- DE LOS EMISORES Y OPERADORES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5.- </w:t>
      </w:r>
      <w:r w:rsidRPr="00153EF0">
        <w:rPr>
          <w:rFonts w:ascii="Tahoma" w:eastAsia="Times New Roman" w:hAnsi="Tahoma" w:cs="Tahoma"/>
          <w:color w:val="000000"/>
          <w:sz w:val="14"/>
          <w:szCs w:val="14"/>
          <w:shd w:val="clear" w:color="auto" w:fill="FFFFFF"/>
          <w:lang w:eastAsia="es-ES"/>
        </w:rPr>
        <w:t>Las entidades emisoras u operadoras de tarjetas para obtener el permiso para operar, presentarán a la Superintendencia de Economía Popular y Solidaria, la información detallada a continuación: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Solicitud correspondiente, adjuntando copia certificada del acta o parte pertinente del acta de la sesión del consejo de administración o quien haga sus veces, en la cual se haya resuelto la operación;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Proyecto de convenio a celebrarse con los tarjetahabientes;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Proyecto de contrato a celebrarse con los establecimientos comerciales afiliados;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Formato y contenido de las tarjetas;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Formatos de notas de cargo a ser utilizados por los establecimientos afiliados; y,</w:t>
      </w:r>
    </w:p>
    <w:p w:rsidR="00275878"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w:t>
      </w:r>
      <w:r w:rsidR="005850DF" w:rsidRPr="00153EF0">
        <w:rPr>
          <w:rFonts w:ascii="Tahoma" w:eastAsia="Times New Roman" w:hAnsi="Tahoma" w:cs="Tahoma"/>
          <w:color w:val="000000"/>
          <w:sz w:val="14"/>
          <w:szCs w:val="14"/>
          <w:shd w:val="clear" w:color="auto" w:fill="FFFFFF"/>
          <w:lang w:eastAsia="es-ES"/>
        </w:rPr>
        <w:t>) Formatos de estados de cuenta.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6.- </w:t>
      </w:r>
      <w:r w:rsidRPr="00153EF0">
        <w:rPr>
          <w:rFonts w:ascii="Tahoma" w:eastAsia="Times New Roman" w:hAnsi="Tahoma" w:cs="Tahoma"/>
          <w:color w:val="000000"/>
          <w:sz w:val="14"/>
          <w:szCs w:val="14"/>
          <w:shd w:val="clear" w:color="auto" w:fill="FFFFFF"/>
          <w:lang w:eastAsia="es-ES"/>
        </w:rPr>
        <w:t>Las entidades para obtener la autorización de la Superintendencia de Economía Popular y Solidaria para emitir tarjetas, deberán al menos cumplir con los siguientes requisitos: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Para las cooperativas de los segmentos 1, 2, 3 y cajas centrales, haber cumplido con el envío del informe de auditoría externa del año inmediato anterior;</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Cumplir con la Norma de seguridad de canales electrónicos;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Contar con opinión del auditor externo que no sea negativa ni abstención;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No encontrarse en un programa de supervisión intensiva;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Haber constituido las provisiones requeridas conforme la Normas para la constitución de provisiones de activos de riesgo en las cooperativas de ahorro y crédito, emitida por la Junta de Política y Regulación Monetaria y Financiera;</w:t>
      </w:r>
    </w:p>
    <w:p w:rsidR="00275878"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w:t>
      </w:r>
      <w:r w:rsidR="005850DF" w:rsidRPr="00153EF0">
        <w:rPr>
          <w:rFonts w:ascii="Tahoma" w:eastAsia="Times New Roman" w:hAnsi="Tahoma" w:cs="Tahoma"/>
          <w:color w:val="000000"/>
          <w:sz w:val="14"/>
          <w:szCs w:val="14"/>
          <w:shd w:val="clear" w:color="auto" w:fill="FFFFFF"/>
          <w:lang w:eastAsia="es-ES"/>
        </w:rPr>
        <w:t>) Haber cumplido con el cronograma de envío de estructuras de información solicitado por la Superintendencia de Economía Popular y Solidaria; y,</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Para el caso de tarjetas de crédito, las entidades deberán haber implementado el proceso de gestión de los riesgos que se deriva de la operación de tarjetas, especialmente de crédito y operativo.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7.- </w:t>
      </w:r>
      <w:r w:rsidRPr="00153EF0">
        <w:rPr>
          <w:rFonts w:ascii="Tahoma" w:eastAsia="Times New Roman" w:hAnsi="Tahoma" w:cs="Tahoma"/>
          <w:color w:val="000000"/>
          <w:sz w:val="14"/>
          <w:szCs w:val="14"/>
          <w:shd w:val="clear" w:color="auto" w:fill="FFFFFF"/>
          <w:lang w:eastAsia="es-ES"/>
        </w:rPr>
        <w:t xml:space="preserve">Cuando una entidad emita tarjetas de crédito utilizando una marca de servicios que pertenezca a un tercero, deberá previamente acreditar ante la Superintendencia de Economía Popular y Solidaria que se </w:t>
      </w:r>
      <w:r w:rsidRPr="00153EF0">
        <w:rPr>
          <w:rFonts w:ascii="Tahoma" w:eastAsia="Times New Roman" w:hAnsi="Tahoma" w:cs="Tahoma"/>
          <w:color w:val="000000"/>
          <w:sz w:val="14"/>
          <w:szCs w:val="14"/>
          <w:shd w:val="clear" w:color="auto" w:fill="FFFFFF"/>
          <w:lang w:eastAsia="es-ES"/>
        </w:rPr>
        <w:lastRenderedPageBreak/>
        <w:t>encuentra autorizada por el emisor, adjuntando para el efecto el contrato debidamente legalizado.</w:t>
      </w:r>
    </w:p>
    <w:p w:rsidR="0018394A" w:rsidRDefault="0018394A" w:rsidP="00275878">
      <w:pPr>
        <w:spacing w:after="0" w:line="240" w:lineRule="auto"/>
        <w:jc w:val="center"/>
        <w:rPr>
          <w:rFonts w:ascii="Tahoma" w:eastAsia="Times New Roman" w:hAnsi="Tahoma" w:cs="Tahoma"/>
          <w:b/>
          <w:bCs/>
          <w:color w:val="000000"/>
          <w:sz w:val="14"/>
          <w:szCs w:val="14"/>
          <w:shd w:val="clear" w:color="auto" w:fill="FFFFFF"/>
          <w:lang w:eastAsia="es-ES"/>
        </w:rPr>
      </w:pPr>
    </w:p>
    <w:p w:rsidR="00275878" w:rsidRPr="00153EF0" w:rsidRDefault="005850DF" w:rsidP="0018394A">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b/>
          <w:bCs/>
          <w:color w:val="000000"/>
          <w:sz w:val="14"/>
          <w:szCs w:val="14"/>
          <w:shd w:val="clear" w:color="auto" w:fill="FFFFFF"/>
          <w:lang w:eastAsia="es-ES"/>
        </w:rPr>
        <w:t>SECCIÓN III.- DE LOS CONTRATOS Y FORMATOS</w:t>
      </w:r>
    </w:p>
    <w:p w:rsidR="0018394A" w:rsidRDefault="0018394A" w:rsidP="00275878">
      <w:pPr>
        <w:spacing w:after="0" w:line="240" w:lineRule="auto"/>
        <w:jc w:val="both"/>
        <w:rPr>
          <w:rFonts w:ascii="Tahoma" w:eastAsia="Times New Roman" w:hAnsi="Tahoma" w:cs="Tahoma"/>
          <w:b/>
          <w:bCs/>
          <w:color w:val="000000"/>
          <w:sz w:val="14"/>
          <w:szCs w:val="14"/>
          <w:shd w:val="clear" w:color="auto" w:fill="FFFFFF"/>
          <w:lang w:eastAsia="es-ES"/>
        </w:rPr>
      </w:pP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b/>
          <w:bCs/>
          <w:color w:val="000000"/>
          <w:sz w:val="14"/>
          <w:szCs w:val="14"/>
          <w:shd w:val="clear" w:color="auto" w:fill="FFFFFF"/>
          <w:lang w:eastAsia="es-ES"/>
        </w:rPr>
        <w:t>ARTÍCULO 8.- </w:t>
      </w:r>
      <w:r w:rsidRPr="00153EF0">
        <w:rPr>
          <w:rFonts w:ascii="Tahoma" w:eastAsia="Times New Roman" w:hAnsi="Tahoma" w:cs="Tahoma"/>
          <w:color w:val="000000"/>
          <w:sz w:val="14"/>
          <w:szCs w:val="14"/>
          <w:shd w:val="clear" w:color="auto" w:fill="FFFFFF"/>
          <w:lang w:eastAsia="es-ES"/>
        </w:rPr>
        <w:t>El contrato a celebrarse entre las entidades emisoras de tarjetas de débito o de pago y el tarjetahabiente, deberá contener como mínimo lo siguiente: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Los derechos y obligaciones de las partes;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Servicios y prestaciones que se ofrece a través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Requisitos para cancelación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d) Determinación de la o las cuentas vinculadas a la </w:t>
      </w:r>
      <w:proofErr w:type="spellStart"/>
      <w:r w:rsidRPr="00153EF0">
        <w:rPr>
          <w:rFonts w:ascii="Tahoma" w:eastAsia="Times New Roman" w:hAnsi="Tahoma" w:cs="Tahoma"/>
          <w:color w:val="000000"/>
          <w:sz w:val="14"/>
          <w:szCs w:val="14"/>
          <w:shd w:val="clear" w:color="auto" w:fill="FFFFFF"/>
          <w:lang w:eastAsia="es-ES"/>
        </w:rPr>
        <w:t>tarj</w:t>
      </w:r>
      <w:proofErr w:type="spellEnd"/>
      <w:r w:rsidRPr="00153EF0">
        <w:rPr>
          <w:rFonts w:ascii="Tahoma" w:eastAsia="Times New Roman" w:hAnsi="Tahoma" w:cs="Tahoma"/>
          <w:color w:val="000000"/>
          <w:sz w:val="14"/>
          <w:szCs w:val="14"/>
          <w:shd w:val="clear" w:color="auto" w:fill="FFFFFF"/>
          <w:lang w:eastAsia="es-ES"/>
        </w:rPr>
        <w:t xml:space="preserve"> eta, debiendo ser de libre elección del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Límites para los retiros de efectivo por transacción, para lo cual se deberá considerar los requerimientos del tarjetahabiente, que deberán estar en función del monto máximo de retiros definido por la entidad;</w:t>
      </w:r>
    </w:p>
    <w:p w:rsidR="00275878"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w:t>
      </w:r>
      <w:r w:rsidR="005850DF" w:rsidRPr="00153EF0">
        <w:rPr>
          <w:rFonts w:ascii="Tahoma" w:eastAsia="Times New Roman" w:hAnsi="Tahoma" w:cs="Tahoma"/>
          <w:color w:val="000000"/>
          <w:sz w:val="14"/>
          <w:szCs w:val="14"/>
          <w:shd w:val="clear" w:color="auto" w:fill="FFFFFF"/>
          <w:lang w:eastAsia="es-ES"/>
        </w:rPr>
        <w:t>) Causas de suspensión del servicio;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Frecuencia de renovación y cobro;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h) Cobertura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i) Descripción del proceso operativo y de aprobación;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j) Declaración de </w:t>
      </w:r>
      <w:proofErr w:type="spellStart"/>
      <w:r w:rsidRPr="00153EF0">
        <w:rPr>
          <w:rFonts w:ascii="Tahoma" w:eastAsia="Times New Roman" w:hAnsi="Tahoma" w:cs="Tahoma"/>
          <w:color w:val="000000"/>
          <w:sz w:val="14"/>
          <w:szCs w:val="14"/>
          <w:shd w:val="clear" w:color="auto" w:fill="FFFFFF"/>
          <w:lang w:eastAsia="es-ES"/>
        </w:rPr>
        <w:t>intransferibilidad</w:t>
      </w:r>
      <w:proofErr w:type="spellEnd"/>
      <w:r w:rsidRPr="00153EF0">
        <w:rPr>
          <w:rFonts w:ascii="Tahoma" w:eastAsia="Times New Roman" w:hAnsi="Tahoma" w:cs="Tahoma"/>
          <w:color w:val="000000"/>
          <w:sz w:val="14"/>
          <w:szCs w:val="14"/>
          <w:shd w:val="clear" w:color="auto" w:fill="FFFFFF"/>
          <w:lang w:eastAsia="es-ES"/>
        </w:rPr>
        <w:t xml:space="preserve">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k) Determinación de la propiedad de la tarjeta;</w:t>
      </w:r>
    </w:p>
    <w:p w:rsidR="00275878"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l</w:t>
      </w:r>
      <w:r w:rsidR="005850DF" w:rsidRPr="00153EF0">
        <w:rPr>
          <w:rFonts w:ascii="Tahoma" w:eastAsia="Times New Roman" w:hAnsi="Tahoma" w:cs="Tahoma"/>
          <w:color w:val="000000"/>
          <w:sz w:val="14"/>
          <w:szCs w:val="14"/>
          <w:shd w:val="clear" w:color="auto" w:fill="FFFFFF"/>
          <w:lang w:eastAsia="es-ES"/>
        </w:rPr>
        <w:t>) Causas de terminación del contrato;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m) Definición y explicación de todos los costos, gastos, honorarios, cargos y otras retribuciones inherentes al servicio, puntualizando la metodología de cálculo individual y la base sobre la que se calculan.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n) Plazo de vigencia del contrato y condiciones para su renovación y terminación anticipada;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o) Plazo dentro del cual el tarjetahabiente debe manifestar la inconformidad con los movimientos registrados en la cuenta asociada a la tarjeta. Dicho plazo no podrá ser menor de quince (15) días;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p) Condiciones relacionadas con la pérdida, sustracción o deterioro de la tarjeta. En estos casos, el tarjetahabiente, debidamente identificado por nombres completos y número de cédula de ciudadanía, deberá notificar del particular a la entidad emisora u operadora no siendo responsable el tarjetahabiente, a partir de ese momento, de los consumos que se hagan con cargo a la tarjeta reportada como perdida o robada. La notificación podrá hacerse por escrito o por teléfono, en cuyo caso el mensaje magnetofónico constituirá medio de prueba, de acuerdo con lo previsto en el artículo 121 del Código de Procedimiento Civil;</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q) Procedimiento para reclamos por errores de facturación; y,</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r) Solución de controversias.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La entidad deberá entregar una copia del contrato al tarjetahabiente al momento de la firma.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9.- </w:t>
      </w:r>
      <w:r w:rsidRPr="00153EF0">
        <w:rPr>
          <w:rFonts w:ascii="Tahoma" w:eastAsia="Times New Roman" w:hAnsi="Tahoma" w:cs="Tahoma"/>
          <w:color w:val="000000"/>
          <w:sz w:val="14"/>
          <w:szCs w:val="14"/>
          <w:shd w:val="clear" w:color="auto" w:fill="FFFFFF"/>
          <w:lang w:eastAsia="es-ES"/>
        </w:rPr>
        <w:t>El contrato a celebrarse entre las entidades emisoras de tarjetas de crédito con los tarjetahabientes, además de lo establecido en el artículo precedente deberá contener lo siguiente: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Las fechas de corte y máxima de pago para cancelar la alícuota del crédito rotativo, del crédito diferido o el monto de los consumos efectuados en un período determinado. De permitirse pagos parciales, como en el caso de la alícuota de crédito rotativo, determinar la metodología de cálculo del mínimo a pagar;</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La metodología de cálculo de los intereses. Las entidades emisoras u operadoras de tarjetas de crédito deberán fijar un período de gracia, entendiéndose como tal el plazo durante el cual la cancelación total de los consumos realizados no causan costos financieros al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La estipulación que cuando el pago realizado corresponda al "mínimo a pagar" o se realice un pago parcial que exceda el "mínimo a pagar", se cobrará el interés normal únicamente sobre los valores pendientes de cancelación;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El acuerdo de que si vencido el periodo de gracia el tarjetahabiente no ha cubierto los valores pendientes de cancelación, la entidad emisora u operadora de tarjetas de crédito tendrá derecho a cobrar intereses normales desde la fecha de consumo hasta el vencimiento del periodo de gracia, e intereses de mora a partir del vencimiento del periodo de gracia;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La determinación de que los intereses se calcularán sobre el saldo diario utilizado de la línea de crédito;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 La obligación de emisión del estado de cuenta y periodicidad;</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La estipulación de que el garante de un tarjetahabiente podrá, en cualquier tiempo, retirar la garantía concedida y no será responsable por los consumos que efectúe el tarjetahabiente, a partir de la fecha de notificación del particular al emisor u operador de tarjetas de crédito;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h) La definición del cupo o línea de crédito asignado al tarjetahabiente, con indicación de la frecuencia y mecanismo de su reajuste; y,</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i) El plazo dentro del cual el tarjetahabiente debe manifestar la inconformidad con los saldos contenidos en el estado de cuenta. Dicho plazo no podrá ser menor de quince (15) días.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La entidad deberá entregar una copia del contrato al tarjetahabiente al momento de la firma.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lastRenderedPageBreak/>
        <w:br/>
      </w:r>
      <w:r w:rsidRPr="00153EF0">
        <w:rPr>
          <w:rFonts w:ascii="Tahoma" w:eastAsia="Times New Roman" w:hAnsi="Tahoma" w:cs="Tahoma"/>
          <w:b/>
          <w:bCs/>
          <w:color w:val="000000"/>
          <w:sz w:val="14"/>
          <w:szCs w:val="14"/>
          <w:shd w:val="clear" w:color="auto" w:fill="FFFFFF"/>
          <w:lang w:eastAsia="es-ES"/>
        </w:rPr>
        <w:t>ARTÍCULO 10.</w:t>
      </w:r>
      <w:r w:rsidRPr="00153EF0">
        <w:rPr>
          <w:rFonts w:ascii="Tahoma" w:eastAsia="Times New Roman" w:hAnsi="Tahoma" w:cs="Tahoma"/>
          <w:color w:val="000000"/>
          <w:sz w:val="14"/>
          <w:szCs w:val="14"/>
          <w:shd w:val="clear" w:color="auto" w:fill="FFFFFF"/>
          <w:lang w:eastAsia="es-ES"/>
        </w:rPr>
        <w:t>- Las cláusulas obligatorias y prohibiciones de los contratos de adhesión con los tarjetahabientes deberán ser aprobadas por la Superintendencia de Economía Popular y Solidaria.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11.- </w:t>
      </w:r>
      <w:r w:rsidRPr="00153EF0">
        <w:rPr>
          <w:rFonts w:ascii="Tahoma" w:eastAsia="Times New Roman" w:hAnsi="Tahoma" w:cs="Tahoma"/>
          <w:color w:val="000000"/>
          <w:sz w:val="14"/>
          <w:szCs w:val="14"/>
          <w:shd w:val="clear" w:color="auto" w:fill="FFFFFF"/>
          <w:lang w:eastAsia="es-ES"/>
        </w:rPr>
        <w:t>Las entidades autorizadas a emitir u operar tarjetas, deberán celebrar contratos escritos con los establecimientos afiliados, en los cuales se estipularán al menos las siguientes cláusulas: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Obligatoriedad de parte del establecimiento afiliado de recibir la tarjeta como medio de pago;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Obligatoriedad del establecimiento de emitir la nota de cargo y de verificar la autenticidad del tarjetahabiente a través de medios seguros y confiables. Además, el establecimiento exigirá la presentación del documento de identificación y anotará en el comprobante el número de la cédula de ciudadanía, registro único de contribuyente o pasaporte;</w:t>
      </w: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c) Condiciones del crédito diferido de ser el caso, que deberán incluir procedimientos para la compra de cartera y fijación del costo financiero, así como el detalle de las responsabilidades de las partes y la indicación de quien asume el riesgo de crédito;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Obligatoriedad de parte del establecimiento de comprobar, en la forma prevista en el correspondiente sistema, que la tarjeta se halle habilitada, así como rechazar aquellas tarjetas que consten en el boletín de seguridad proporcionado por la entidad emisora u operadora;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Obligatoriedad del establecimiento de que el precio para el pago con tarjeta, será el mismo precio que al contado; y, que toda oferta, promoción, rebaja o descuento vigente para el pago al contado, será también exigible por el consumidor que efectúa pagos mediante el uso de tarjetas, salvo que se ponga en conocimiento del tarjetahabiente de manera oportuna y adecuada, en la publicidad o información respectiva y de manera expresa, lo contrario;</w:t>
      </w:r>
    </w:p>
    <w:p w:rsidR="00153EF0"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w:t>
      </w:r>
      <w:r w:rsidR="005850DF" w:rsidRPr="00153EF0">
        <w:rPr>
          <w:rFonts w:ascii="Tahoma" w:eastAsia="Times New Roman" w:hAnsi="Tahoma" w:cs="Tahoma"/>
          <w:color w:val="000000"/>
          <w:sz w:val="14"/>
          <w:szCs w:val="14"/>
          <w:shd w:val="clear" w:color="auto" w:fill="FFFFFF"/>
          <w:lang w:eastAsia="es-ES"/>
        </w:rPr>
        <w:t>) Imposibilidad del establecimiento de ejecutar cobros pendientes en favor de la entidad emisora u operadora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Fijación de cupos para las transacciones mediante la tarjeta. El establecimiento deberá verificar que el valor del comprobante no exceda de los montos máximos autorizados. Está terminantemente prohibido a los establecimientos dividir o fraccionar el valor de los consumos, en dos o más comprobantes, con la finalidad de evadir la obligación de solicitar autorización para cupos mayores a los asignados;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h) Procedimiento y plazo para la presentación de las notas de cargo por parte de los establecimientos afiliados;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i) Procedimiento para la cancelación de las notas de cargo;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j) Cargos por el servicio;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k) Compromiso de la entidad emisora u operadora de la tarjeta de proporcionar regularmente un boletín de seguridad;</w:t>
      </w:r>
    </w:p>
    <w:p w:rsidR="00275878"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l</w:t>
      </w:r>
      <w:r w:rsidR="005850DF" w:rsidRPr="00153EF0">
        <w:rPr>
          <w:rFonts w:ascii="Tahoma" w:eastAsia="Times New Roman" w:hAnsi="Tahoma" w:cs="Tahoma"/>
          <w:color w:val="000000"/>
          <w:sz w:val="14"/>
          <w:szCs w:val="14"/>
          <w:shd w:val="clear" w:color="auto" w:fill="FFFFFF"/>
          <w:lang w:eastAsia="es-ES"/>
        </w:rPr>
        <w:t>) Plazo de duración del contrato y condiciones para su renovación o terminación anticipada; y,</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m) Determinación de las condiciones para la facturación y cancelación de los consumos a través de captura electrónica.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12.- </w:t>
      </w:r>
      <w:r w:rsidRPr="00153EF0">
        <w:rPr>
          <w:rFonts w:ascii="Tahoma" w:eastAsia="Times New Roman" w:hAnsi="Tahoma" w:cs="Tahoma"/>
          <w:color w:val="000000"/>
          <w:sz w:val="14"/>
          <w:szCs w:val="14"/>
          <w:shd w:val="clear" w:color="auto" w:fill="FFFFFF"/>
          <w:lang w:eastAsia="es-ES"/>
        </w:rPr>
        <w:t>Las tarjetas contendrán, al menos, la siguiente información: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Nombre y distintivo de la respectiva marca de servicio;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Nombre de la entidad que emite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Nombre de la entidad propietaria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Numeración codificada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Nombre del tarjetahabiente;</w:t>
      </w:r>
    </w:p>
    <w:p w:rsidR="00275878"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w:t>
      </w:r>
      <w:r w:rsidR="005850DF" w:rsidRPr="00153EF0">
        <w:rPr>
          <w:rFonts w:ascii="Tahoma" w:eastAsia="Times New Roman" w:hAnsi="Tahoma" w:cs="Tahoma"/>
          <w:color w:val="000000"/>
          <w:sz w:val="14"/>
          <w:szCs w:val="14"/>
          <w:shd w:val="clear" w:color="auto" w:fill="FFFFFF"/>
          <w:lang w:eastAsia="es-ES"/>
        </w:rPr>
        <w:t>) Fecha de expiración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Firma del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h) Banda o chip para la impresión de los caracteres magnéticos; y,</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i) Código de seguridad.</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13.- </w:t>
      </w:r>
      <w:r w:rsidRPr="00153EF0">
        <w:rPr>
          <w:rFonts w:ascii="Tahoma" w:eastAsia="Times New Roman" w:hAnsi="Tahoma" w:cs="Tahoma"/>
          <w:color w:val="000000"/>
          <w:sz w:val="14"/>
          <w:szCs w:val="14"/>
          <w:shd w:val="clear" w:color="auto" w:fill="FFFFFF"/>
          <w:lang w:eastAsia="es-ES"/>
        </w:rPr>
        <w:t>Las notas de cargo contendrán al menos la siguiente información:</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Número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Nombre del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Código, nombre y registro único de contribuyentes del establecimiento afiliado, si tiene su domicilio en el Ecuador;</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Número de la nota de cargo;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Monto del consumo y otros cargos imputables al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 Tipo de crédito otorgado (solo tarjeta de crédito);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Plazo del crédito diferido (solo tarjeta de crédito);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h) Lugar y fecha del consumo;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i) Fecha de expiración de la tarjeta; y,</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j) Firma del tarjetahabiente.</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La nota de cargo deberá expedirse al menos por duplicado, correspondiendo un ejemplar</w:t>
      </w:r>
      <w:r w:rsidR="00153EF0" w:rsidRPr="00153EF0">
        <w:rPr>
          <w:rFonts w:ascii="Tahoma" w:eastAsia="Times New Roman" w:hAnsi="Tahoma" w:cs="Tahoma"/>
          <w:color w:val="000000"/>
          <w:sz w:val="14"/>
          <w:szCs w:val="14"/>
          <w:shd w:val="clear" w:color="auto" w:fill="FFFFFF"/>
          <w:lang w:eastAsia="es-ES"/>
        </w:rPr>
        <w:t xml:space="preserve"> </w:t>
      </w:r>
      <w:r w:rsidRPr="00153EF0">
        <w:rPr>
          <w:rFonts w:ascii="Tahoma" w:eastAsia="Times New Roman" w:hAnsi="Tahoma" w:cs="Tahoma"/>
          <w:color w:val="000000"/>
          <w:sz w:val="14"/>
          <w:szCs w:val="14"/>
          <w:shd w:val="clear" w:color="auto" w:fill="FFFFFF"/>
          <w:lang w:eastAsia="es-ES"/>
        </w:rPr>
        <w:t>al tarjetahabiente, otra al establecimiento afiliado y una más al emisor u operador de la tarjeta.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14.- </w:t>
      </w:r>
      <w:r w:rsidRPr="00153EF0">
        <w:rPr>
          <w:rFonts w:ascii="Tahoma" w:eastAsia="Times New Roman" w:hAnsi="Tahoma" w:cs="Tahoma"/>
          <w:color w:val="000000"/>
          <w:sz w:val="14"/>
          <w:szCs w:val="14"/>
          <w:shd w:val="clear" w:color="auto" w:fill="FFFFFF"/>
          <w:lang w:eastAsia="es-ES"/>
        </w:rPr>
        <w:t xml:space="preserve">La entidad autorizada deberá entregar mensualmente al tarjetahabiente, el estado de cuenta de su tarjeta de crédito vía Internet, </w:t>
      </w:r>
      <w:r w:rsidRPr="00153EF0">
        <w:rPr>
          <w:rFonts w:ascii="Tahoma" w:eastAsia="Times New Roman" w:hAnsi="Tahoma" w:cs="Tahoma"/>
          <w:color w:val="000000"/>
          <w:sz w:val="14"/>
          <w:szCs w:val="14"/>
          <w:shd w:val="clear" w:color="auto" w:fill="FFFFFF"/>
          <w:lang w:eastAsia="es-ES"/>
        </w:rPr>
        <w:lastRenderedPageBreak/>
        <w:t>por correo electrónico o cualquier otro medio electrónico. Previa aceptación del tarjetahabiente, podrán entregar el estado de cuenta, en forma física. El estado de cuenta de tarjeta de crédito contendrá al menos la siguiente información:</w:t>
      </w:r>
    </w:p>
    <w:p w:rsidR="00153EF0" w:rsidRPr="00153EF0" w:rsidRDefault="00153EF0" w:rsidP="00275878">
      <w:pPr>
        <w:spacing w:after="0" w:line="240" w:lineRule="auto"/>
        <w:jc w:val="both"/>
        <w:rPr>
          <w:rFonts w:ascii="Tahoma" w:eastAsia="Times New Roman" w:hAnsi="Tahoma" w:cs="Tahoma"/>
          <w:color w:val="000000"/>
          <w:sz w:val="14"/>
          <w:szCs w:val="14"/>
          <w:shd w:val="clear" w:color="auto" w:fill="FFFFFF"/>
          <w:lang w:eastAsia="es-ES"/>
        </w:rPr>
      </w:pP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a) Identificación de la entidad emisora u operadora;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Identificación del tarjetahabiente, con especificación de cédula de ciudadanía,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Número de la tarjeta debidamente enmascarado;</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Fecha de emisión o corte del estado de cuenta;</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Fecha máxima de cancelación de los consumos;</w:t>
      </w:r>
    </w:p>
    <w:p w:rsidR="00275878"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 Detalle pormenorizado de los consumos en moneda nacional y moneda extranjera especificando su fecha de realización, número de la nota de cargo, nombre del establecimiento afiliado e importe, tipo de cambio, de ser el caso;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g) Importe de los avances en efectivo realizados;</w:t>
      </w:r>
    </w:p>
    <w:p w:rsidR="00153EF0"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h) Conciliación de saldos, saldo promedio mensual de utilización de la línea de crédito; y, definición del monto a ser cancelado;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i) Definición de los cupos para crédito rotativo, crédito diferido y otros, con indicación del monto utilizado y el diferido pendiente de utilización;</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j) Determinación de los planes de recompensas a favor del tarjetahabiente, de ser el caso;</w:t>
      </w:r>
    </w:p>
    <w:p w:rsidR="00153EF0"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k) Especificación de cualquier honorario o cargo que se efectúe al tarjetahabiente, definiendo la frecuencia de su cobro; y,</w:t>
      </w:r>
    </w:p>
    <w:p w:rsidR="00431533" w:rsidRPr="00153EF0" w:rsidRDefault="00431533"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l</w:t>
      </w:r>
      <w:r w:rsidR="005850DF" w:rsidRPr="00153EF0">
        <w:rPr>
          <w:rFonts w:ascii="Tahoma" w:eastAsia="Times New Roman" w:hAnsi="Tahoma" w:cs="Tahoma"/>
          <w:color w:val="000000"/>
          <w:sz w:val="14"/>
          <w:szCs w:val="14"/>
          <w:shd w:val="clear" w:color="auto" w:fill="FFFFFF"/>
          <w:lang w:eastAsia="es-ES"/>
        </w:rPr>
        <w:t>) Determinación de los recargos por mora, con indicación de la base de cálculo y la tasa nominal y efectiva anual que se aplica.</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15.- </w:t>
      </w:r>
      <w:r w:rsidRPr="00153EF0">
        <w:rPr>
          <w:rFonts w:ascii="Tahoma" w:eastAsia="Times New Roman" w:hAnsi="Tahoma" w:cs="Tahoma"/>
          <w:color w:val="000000"/>
          <w:sz w:val="14"/>
          <w:szCs w:val="14"/>
          <w:shd w:val="clear" w:color="auto" w:fill="FFFFFF"/>
          <w:lang w:eastAsia="es-ES"/>
        </w:rPr>
        <w:t>La Superintendencia de Economía Popular y Solidaria podrá disponer la modificación del contenido de los contratos y formatos y aprobará las cláusulas obligatorias y prohibiciones.</w:t>
      </w:r>
    </w:p>
    <w:p w:rsidR="00431533" w:rsidRPr="00153EF0" w:rsidRDefault="005850DF" w:rsidP="00431533">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SECCIÓN IV.- DE LAS OPERACIONES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16.- </w:t>
      </w:r>
      <w:r w:rsidRPr="00153EF0">
        <w:rPr>
          <w:rFonts w:ascii="Tahoma" w:eastAsia="Times New Roman" w:hAnsi="Tahoma" w:cs="Tahoma"/>
          <w:color w:val="000000"/>
          <w:sz w:val="14"/>
          <w:szCs w:val="14"/>
          <w:shd w:val="clear" w:color="auto" w:fill="FFFFFF"/>
          <w:lang w:eastAsia="es-ES"/>
        </w:rPr>
        <w:t>Las entidades emisoras podrán operar por sí mismas sus tarjetas o contratar con operadores de tarjetas en forma total o parcial las siguientes operaciones: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Calificar y aprobar las solicitudes de los tarjetahabientes y de afiliación de establecimientos;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Conceder únicamente líneas de crédito rotativo o diferido, por utilización de la tarjeta de crédito o por entrega de dinero en efectivo, excepto las tarjetas de cargo;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Efectuar cobros a los tarjetahabientes y pagos a los establecimientos;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En tarjetas de crédito, recibir valores de sus tarjetahabientes con la finalidad de efectuar pagos a sus futuros consumos. Los valores que se reciban como anticipos para futuros consumos deberán mantenerse en la misma cuenta a órdenes de los respectivos tarjetahabientes;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e) Promover las tarjetas; y,</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f) Otras estrictamente relacionadas con las actividades de las operadoras de tarjetas, las que deberán ser previamente autorizadas por la Superintendencia de Economía Popular y Solidaria.</w:t>
      </w:r>
    </w:p>
    <w:p w:rsidR="00431533" w:rsidRPr="00153EF0" w:rsidRDefault="005850DF" w:rsidP="00431533">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SECCIÓN V.- COSTOS, CARGOS E INTERESES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17.- </w:t>
      </w:r>
      <w:r w:rsidRPr="00153EF0">
        <w:rPr>
          <w:rFonts w:ascii="Tahoma" w:eastAsia="Times New Roman" w:hAnsi="Tahoma" w:cs="Tahoma"/>
          <w:color w:val="000000"/>
          <w:sz w:val="14"/>
          <w:szCs w:val="14"/>
          <w:shd w:val="clear" w:color="auto" w:fill="FFFFFF"/>
          <w:lang w:eastAsia="es-ES"/>
        </w:rPr>
        <w:t>Los folletos de promoción de los servicios de las tarjetas y las solicitudes de suscripción deberán desglosar todos los costos, gastos, cargos, honorarios, identificando claramente el alcance de sus servicios y otras retribuciones inherentes al servicio. En tarjetas de crédito, adicionalmente, informar los intereses y la metodología de cálculo de las tasas de mora.</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La entidad emisora u operadora de tarjetas deberá, en todo momento, tener a disposición del público un folleto de servicios, detallando el alcance de los servicios que presta, los números telefónicos de servicio al tarjetahabiente y la información indicada en el inciso anterior.</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18.- </w:t>
      </w:r>
      <w:r w:rsidRPr="00153EF0">
        <w:rPr>
          <w:rFonts w:ascii="Tahoma" w:eastAsia="Times New Roman" w:hAnsi="Tahoma" w:cs="Tahoma"/>
          <w:color w:val="000000"/>
          <w:sz w:val="14"/>
          <w:szCs w:val="14"/>
          <w:shd w:val="clear" w:color="auto" w:fill="FFFFFF"/>
          <w:lang w:eastAsia="es-ES"/>
        </w:rPr>
        <w:t>Las entidades emisoras u operadoras de tarjetas pueden cobrar y percibir intereses, y cargos por sus servicios, de acuerdo a las normas que expida para el efecto la Junta de Política y Regulación Monetaria y Financiera.</w:t>
      </w:r>
    </w:p>
    <w:p w:rsidR="00431533" w:rsidRPr="00153EF0" w:rsidRDefault="00431533" w:rsidP="00275878">
      <w:pPr>
        <w:spacing w:after="0" w:line="240" w:lineRule="auto"/>
        <w:jc w:val="both"/>
        <w:rPr>
          <w:rFonts w:ascii="Tahoma" w:eastAsia="Times New Roman" w:hAnsi="Tahoma" w:cs="Tahoma"/>
          <w:color w:val="000000"/>
          <w:sz w:val="14"/>
          <w:szCs w:val="14"/>
          <w:lang w:eastAsia="es-ES"/>
        </w:rPr>
      </w:pP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b/>
          <w:bCs/>
          <w:color w:val="000000"/>
          <w:sz w:val="14"/>
          <w:szCs w:val="14"/>
          <w:shd w:val="clear" w:color="auto" w:fill="FFFFFF"/>
          <w:lang w:eastAsia="es-ES"/>
        </w:rPr>
        <w:t>ARTÍCULO 19.- </w:t>
      </w:r>
      <w:r w:rsidRPr="00153EF0">
        <w:rPr>
          <w:rFonts w:ascii="Tahoma" w:eastAsia="Times New Roman" w:hAnsi="Tahoma" w:cs="Tahoma"/>
          <w:color w:val="000000"/>
          <w:sz w:val="14"/>
          <w:szCs w:val="14"/>
          <w:shd w:val="clear" w:color="auto" w:fill="FFFFFF"/>
          <w:lang w:eastAsia="es-ES"/>
        </w:rPr>
        <w:t>Los emisores de tarjeta de crédito podrán cobrar intereses en forma directa, en el caso de los créditos rotativos, o a través de la facturación de los establecimientos afiliados, en el caso de créditos diferidos.</w:t>
      </w:r>
    </w:p>
    <w:p w:rsidR="00153EF0"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En el caso de crédito diferido, la tasa de interés será fija durante el período de vida de la operación. Se prohíbe expresamente el cobro de interés sobre interés y no podrá constar cláusula semejante en el contrato para la emisión de tarjetas.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20.- </w:t>
      </w:r>
      <w:r w:rsidRPr="00153EF0">
        <w:rPr>
          <w:rFonts w:ascii="Tahoma" w:eastAsia="Times New Roman" w:hAnsi="Tahoma" w:cs="Tahoma"/>
          <w:color w:val="000000"/>
          <w:sz w:val="14"/>
          <w:szCs w:val="14"/>
          <w:shd w:val="clear" w:color="auto" w:fill="FFFFFF"/>
          <w:lang w:eastAsia="es-ES"/>
        </w:rPr>
        <w:t>La entidad autorizada para emitir u operar tarjetas de crédito, no podrá cobrar valores superiores a las obligaciones pendientes de pago.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lastRenderedPageBreak/>
        <w:br/>
      </w:r>
      <w:r w:rsidRPr="00153EF0">
        <w:rPr>
          <w:rFonts w:ascii="Tahoma" w:eastAsia="Times New Roman" w:hAnsi="Tahoma" w:cs="Tahoma"/>
          <w:b/>
          <w:bCs/>
          <w:color w:val="000000"/>
          <w:sz w:val="14"/>
          <w:szCs w:val="14"/>
          <w:shd w:val="clear" w:color="auto" w:fill="FFFFFF"/>
          <w:lang w:eastAsia="es-ES"/>
        </w:rPr>
        <w:t>ARTÍCULO 21.- </w:t>
      </w:r>
      <w:r w:rsidRPr="00153EF0">
        <w:rPr>
          <w:rFonts w:ascii="Tahoma" w:eastAsia="Times New Roman" w:hAnsi="Tahoma" w:cs="Tahoma"/>
          <w:color w:val="000000"/>
          <w:sz w:val="14"/>
          <w:szCs w:val="14"/>
          <w:shd w:val="clear" w:color="auto" w:fill="FFFFFF"/>
          <w:lang w:eastAsia="es-ES"/>
        </w:rPr>
        <w:t>Para el caso de consumos realizados en divisas distintas de la de curso legal, el tarjetahabiente cubrirá su obligación en moneda de curso legal y el valor del consumo deberá ser convertido a esta moneda a la cotización de venta de divisas publicado por el Banco Central del Ecuador, correspondiente a la fecha que se recibe el débito del exterior, la misma que deberá ser notificada al tarjetahabiente en el estado de cuenta.</w:t>
      </w:r>
    </w:p>
    <w:p w:rsidR="00431533" w:rsidRPr="00153EF0" w:rsidRDefault="005850DF" w:rsidP="00431533">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SECCIÓN VI.- OBLIGACIONES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22.- </w:t>
      </w:r>
      <w:r w:rsidRPr="00153EF0">
        <w:rPr>
          <w:rFonts w:ascii="Tahoma" w:eastAsia="Times New Roman" w:hAnsi="Tahoma" w:cs="Tahoma"/>
          <w:color w:val="000000"/>
          <w:sz w:val="14"/>
          <w:szCs w:val="14"/>
          <w:shd w:val="clear" w:color="auto" w:fill="FFFFFF"/>
          <w:lang w:eastAsia="es-ES"/>
        </w:rPr>
        <w:t>Para la emisión de tarjetas de crédito la entidad receptará la solicitud pertinente de parte del solicitante y, en forma previa a la celebración del contrato, efectuará los análisis que sean necesarios para establecer la capacidad de pago del solicitante.</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Al efecto las entidades deberán al menos: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Tener una metodología específica, con el sustento técnico para definir o aprobar el cupo o línea de crédito asignado al tarjetahabiente, con indicación de la frecuencia y mecanismo de reajuste;</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Contar con información del registro de datos crediticios con el propósito de tener información complementaria para el proceso de aprobación y seguimiento de sus tarjetahabientes.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Verificar que los potenciales tarjetahabientes principales sean hábiles para contratar de acuerdo a la ley.</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23.- </w:t>
      </w:r>
      <w:r w:rsidRPr="00153EF0">
        <w:rPr>
          <w:rFonts w:ascii="Tahoma" w:eastAsia="Times New Roman" w:hAnsi="Tahoma" w:cs="Tahoma"/>
          <w:color w:val="000000"/>
          <w:sz w:val="14"/>
          <w:szCs w:val="14"/>
          <w:shd w:val="clear" w:color="auto" w:fill="FFFFFF"/>
          <w:lang w:eastAsia="es-ES"/>
        </w:rPr>
        <w:t>Las entidades emisoras u operadoras de tarjetas deberán:</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Conservar todos los comprobantes de las partidas definitivas de sus libros y operaciones, de conformidad con lo dispuesto en el artículo 225 del Código Orgánico Monetario y Financiero y con las normas dictadas por la Superintendencia de Economía Popular y Solidaria;</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Establecer un servicio telefónico o cualquier otro medio de funcionamiento permanente y verificable, el cual permita al usuario realizar consultas o reclamos y notificar la pérdida, sustracción o hurto de las tarjetas;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c) Entregar a los establecimientos y a los tarjetahabientes una copia del contrato que suscriban con la emisora u operadora de tarjetas de crédito y notificar el mecanismo por el cual los contratos entran en vigencia; y,</w:t>
      </w:r>
    </w:p>
    <w:p w:rsidR="0018394A"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d) Notificar por escrito al establecimiento y/o al tarjetahabiente, con copia a la Superintendencia de Economía Popular y Solidaria, las modificaciones a los respectivos contratos, con al menos treinta (30) días de anticipación, inclusive cualquier modificación en la metodología de cálculo de cada una de las tasas o retribuciones que perciba por el servicio que presta, e indicar que la aceptación o uso de la tarjeta después del plazo indicado, implica aceptación tácita de las modificaciones.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24.- </w:t>
      </w:r>
      <w:r w:rsidRPr="00153EF0">
        <w:rPr>
          <w:rFonts w:ascii="Tahoma" w:eastAsia="Times New Roman" w:hAnsi="Tahoma" w:cs="Tahoma"/>
          <w:color w:val="000000"/>
          <w:sz w:val="14"/>
          <w:szCs w:val="14"/>
          <w:shd w:val="clear" w:color="auto" w:fill="FFFFFF"/>
          <w:lang w:eastAsia="es-ES"/>
        </w:rPr>
        <w:t>Las entidades emisoras u operadoras de tarjetas de crédito deberán enviar a la Superintendencia de Economía Popular y Solidaria la información que ésta les solicite, principalmente la siguiente:</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a) Nómina de las personas a quienes hubieren cancelado las tarjetas de crédito por mal manejo, con una periodicidad mensual; y,</w:t>
      </w:r>
    </w:p>
    <w:p w:rsidR="00153EF0"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b) Un detalle mensual del número de afiliados, monto total de líneas de crédito concedidas y monto total de crédito utilizado.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25.- </w:t>
      </w:r>
      <w:r w:rsidRPr="00153EF0">
        <w:rPr>
          <w:rFonts w:ascii="Tahoma" w:eastAsia="Times New Roman" w:hAnsi="Tahoma" w:cs="Tahoma"/>
          <w:color w:val="000000"/>
          <w:sz w:val="14"/>
          <w:szCs w:val="14"/>
          <w:shd w:val="clear" w:color="auto" w:fill="FFFFFF"/>
          <w:lang w:eastAsia="es-ES"/>
        </w:rPr>
        <w:t>Cuando por cualquier medio se demostrara que un establecimiento afiliado efectúa, a través de tarjetas, la venta o el suministro de bienes y servicios por valores superiores a los establecidos para sus ventas normales o de descuento, la entidad emisora u operadora de la tarjeta, deberá dar por terminado el acuerdo de afiliación respectivo y notificará del particular a la Superintendencia de Economía Popular y Solidaria, con el objeto de que disponga la suspensión de operaciones de todas las emisoras u operadoras de tarjetas de crédito, con dicho establecimiento.</w:t>
      </w:r>
    </w:p>
    <w:p w:rsidR="00431533" w:rsidRPr="00153EF0" w:rsidRDefault="005850DF" w:rsidP="00431533">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SECCIÓN VII- SEGMENTACIÓN DE TARJETAS DE CRÉDITO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26.- </w:t>
      </w:r>
      <w:r w:rsidRPr="00153EF0">
        <w:rPr>
          <w:rFonts w:ascii="Tahoma" w:eastAsia="Times New Roman" w:hAnsi="Tahoma" w:cs="Tahoma"/>
          <w:color w:val="000000"/>
          <w:sz w:val="14"/>
          <w:szCs w:val="14"/>
          <w:shd w:val="clear" w:color="auto" w:fill="FFFFFF"/>
          <w:lang w:eastAsia="es-ES"/>
        </w:rPr>
        <w:t>Para los servicios de afiliación y renovación de tarjetas crédito, se tendrán los siguientes segmentos: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lastRenderedPageBreak/>
        <w:br/>
      </w:r>
      <w:r w:rsidRPr="00153EF0">
        <w:rPr>
          <w:rFonts w:ascii="Tahoma" w:eastAsia="Times New Roman" w:hAnsi="Tahoma" w:cs="Tahoma"/>
          <w:color w:val="000000"/>
          <w:sz w:val="14"/>
          <w:szCs w:val="14"/>
          <w:shd w:val="clear" w:color="auto" w:fill="FFFFFF"/>
          <w:lang w:eastAsia="es-ES"/>
        </w:rPr>
        <w:t xml:space="preserve">a) Segmento AA+ y AA.- Son tarjetas equivalentes a Visa </w:t>
      </w:r>
      <w:proofErr w:type="spellStart"/>
      <w:r w:rsidRPr="00153EF0">
        <w:rPr>
          <w:rFonts w:ascii="Tahoma" w:eastAsia="Times New Roman" w:hAnsi="Tahoma" w:cs="Tahoma"/>
          <w:color w:val="000000"/>
          <w:sz w:val="14"/>
          <w:szCs w:val="14"/>
          <w:shd w:val="clear" w:color="auto" w:fill="FFFFFF"/>
          <w:lang w:eastAsia="es-ES"/>
        </w:rPr>
        <w:t>Infinite</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Mastercard</w:t>
      </w:r>
      <w:proofErr w:type="spellEnd"/>
      <w:r w:rsidRPr="00153EF0">
        <w:rPr>
          <w:rFonts w:ascii="Tahoma" w:eastAsia="Times New Roman" w:hAnsi="Tahoma" w:cs="Tahoma"/>
          <w:color w:val="000000"/>
          <w:sz w:val="14"/>
          <w:szCs w:val="14"/>
          <w:shd w:val="clear" w:color="auto" w:fill="FFFFFF"/>
          <w:lang w:eastAsia="es-ES"/>
        </w:rPr>
        <w:t xml:space="preserve"> Black, </w:t>
      </w:r>
      <w:proofErr w:type="spellStart"/>
      <w:r w:rsidRPr="00153EF0">
        <w:rPr>
          <w:rFonts w:ascii="Tahoma" w:eastAsia="Times New Roman" w:hAnsi="Tahoma" w:cs="Tahoma"/>
          <w:color w:val="000000"/>
          <w:sz w:val="14"/>
          <w:szCs w:val="14"/>
          <w:shd w:val="clear" w:color="auto" w:fill="FFFFFF"/>
          <w:lang w:eastAsia="es-ES"/>
        </w:rPr>
        <w:t>Diners</w:t>
      </w:r>
      <w:proofErr w:type="spellEnd"/>
      <w:r w:rsidRPr="00153EF0">
        <w:rPr>
          <w:rFonts w:ascii="Tahoma" w:eastAsia="Times New Roman" w:hAnsi="Tahoma" w:cs="Tahoma"/>
          <w:color w:val="000000"/>
          <w:sz w:val="14"/>
          <w:szCs w:val="14"/>
          <w:shd w:val="clear" w:color="auto" w:fill="FFFFFF"/>
          <w:lang w:eastAsia="es-ES"/>
        </w:rPr>
        <w:t xml:space="preserve"> Club </w:t>
      </w:r>
      <w:proofErr w:type="spellStart"/>
      <w:r w:rsidRPr="00153EF0">
        <w:rPr>
          <w:rFonts w:ascii="Tahoma" w:eastAsia="Times New Roman" w:hAnsi="Tahoma" w:cs="Tahoma"/>
          <w:color w:val="000000"/>
          <w:sz w:val="14"/>
          <w:szCs w:val="14"/>
          <w:shd w:val="clear" w:color="auto" w:fill="FFFFFF"/>
          <w:lang w:eastAsia="es-ES"/>
        </w:rPr>
        <w:t>Sphaere</w:t>
      </w:r>
      <w:proofErr w:type="spellEnd"/>
      <w:r w:rsidRPr="00153EF0">
        <w:rPr>
          <w:rFonts w:ascii="Tahoma" w:eastAsia="Times New Roman" w:hAnsi="Tahoma" w:cs="Tahoma"/>
          <w:color w:val="000000"/>
          <w:sz w:val="14"/>
          <w:szCs w:val="14"/>
          <w:shd w:val="clear" w:color="auto" w:fill="FFFFFF"/>
          <w:lang w:eastAsia="es-ES"/>
        </w:rPr>
        <w:t>, American Express Élite; emitidas a personas jurídicas o naturales que califiquen para este segmento.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b) Segmento A+ y A.- Son tarjetas equivalentes a Visa </w:t>
      </w:r>
      <w:proofErr w:type="spellStart"/>
      <w:r w:rsidRPr="00153EF0">
        <w:rPr>
          <w:rFonts w:ascii="Tahoma" w:eastAsia="Times New Roman" w:hAnsi="Tahoma" w:cs="Tahoma"/>
          <w:color w:val="000000"/>
          <w:sz w:val="14"/>
          <w:szCs w:val="14"/>
          <w:shd w:val="clear" w:color="auto" w:fill="FFFFFF"/>
          <w:lang w:eastAsia="es-ES"/>
        </w:rPr>
        <w:t>Signature</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Alia</w:t>
      </w:r>
      <w:proofErr w:type="spellEnd"/>
      <w:r w:rsidRPr="00153EF0">
        <w:rPr>
          <w:rFonts w:ascii="Tahoma" w:eastAsia="Times New Roman" w:hAnsi="Tahoma" w:cs="Tahoma"/>
          <w:color w:val="000000"/>
          <w:sz w:val="14"/>
          <w:szCs w:val="14"/>
          <w:shd w:val="clear" w:color="auto" w:fill="FFFFFF"/>
          <w:lang w:eastAsia="es-ES"/>
        </w:rPr>
        <w:t xml:space="preserve"> Black persona natural, American Express </w:t>
      </w:r>
      <w:proofErr w:type="spellStart"/>
      <w:r w:rsidRPr="00153EF0">
        <w:rPr>
          <w:rFonts w:ascii="Tahoma" w:eastAsia="Times New Roman" w:hAnsi="Tahoma" w:cs="Tahoma"/>
          <w:color w:val="000000"/>
          <w:sz w:val="14"/>
          <w:szCs w:val="14"/>
          <w:shd w:val="clear" w:color="auto" w:fill="FFFFFF"/>
          <w:lang w:eastAsia="es-ES"/>
        </w:rPr>
        <w:t>Platinum</w:t>
      </w:r>
      <w:proofErr w:type="spellEnd"/>
      <w:r w:rsidRPr="00153EF0">
        <w:rPr>
          <w:rFonts w:ascii="Tahoma" w:eastAsia="Times New Roman" w:hAnsi="Tahoma" w:cs="Tahoma"/>
          <w:color w:val="000000"/>
          <w:sz w:val="14"/>
          <w:szCs w:val="14"/>
          <w:shd w:val="clear" w:color="auto" w:fill="FFFFFF"/>
          <w:lang w:eastAsia="es-ES"/>
        </w:rPr>
        <w:t xml:space="preserve"> pago; emitidas a personas jurídicas o naturales que califiquen para este segmento.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c) Segmento B+ y B.- Son tarjetas equivalentes a Visa </w:t>
      </w:r>
      <w:proofErr w:type="spellStart"/>
      <w:r w:rsidRPr="00153EF0">
        <w:rPr>
          <w:rFonts w:ascii="Tahoma" w:eastAsia="Times New Roman" w:hAnsi="Tahoma" w:cs="Tahoma"/>
          <w:color w:val="000000"/>
          <w:sz w:val="14"/>
          <w:szCs w:val="14"/>
          <w:shd w:val="clear" w:color="auto" w:fill="FFFFFF"/>
          <w:lang w:eastAsia="es-ES"/>
        </w:rPr>
        <w:t>Platinum</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Mastercard</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Platinum</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Diners</w:t>
      </w:r>
      <w:proofErr w:type="spellEnd"/>
      <w:r w:rsidRPr="00153EF0">
        <w:rPr>
          <w:rFonts w:ascii="Tahoma" w:eastAsia="Times New Roman" w:hAnsi="Tahoma" w:cs="Tahoma"/>
          <w:color w:val="000000"/>
          <w:sz w:val="14"/>
          <w:szCs w:val="14"/>
          <w:shd w:val="clear" w:color="auto" w:fill="FFFFFF"/>
          <w:lang w:eastAsia="es-ES"/>
        </w:rPr>
        <w:t xml:space="preserve"> Club </w:t>
      </w:r>
      <w:proofErr w:type="spellStart"/>
      <w:r w:rsidRPr="00153EF0">
        <w:rPr>
          <w:rFonts w:ascii="Tahoma" w:eastAsia="Times New Roman" w:hAnsi="Tahoma" w:cs="Tahoma"/>
          <w:color w:val="000000"/>
          <w:sz w:val="14"/>
          <w:szCs w:val="14"/>
          <w:shd w:val="clear" w:color="auto" w:fill="FFFFFF"/>
          <w:lang w:eastAsia="es-ES"/>
        </w:rPr>
        <w:t>Advantage</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Diners</w:t>
      </w:r>
      <w:proofErr w:type="spellEnd"/>
      <w:r w:rsidRPr="00153EF0">
        <w:rPr>
          <w:rFonts w:ascii="Tahoma" w:eastAsia="Times New Roman" w:hAnsi="Tahoma" w:cs="Tahoma"/>
          <w:color w:val="000000"/>
          <w:sz w:val="14"/>
          <w:szCs w:val="14"/>
          <w:shd w:val="clear" w:color="auto" w:fill="FFFFFF"/>
          <w:lang w:eastAsia="es-ES"/>
        </w:rPr>
        <w:t xml:space="preserve"> Club Miles, </w:t>
      </w:r>
      <w:proofErr w:type="spellStart"/>
      <w:r w:rsidRPr="00153EF0">
        <w:rPr>
          <w:rFonts w:ascii="Tahoma" w:eastAsia="Times New Roman" w:hAnsi="Tahoma" w:cs="Tahoma"/>
          <w:color w:val="000000"/>
          <w:sz w:val="14"/>
          <w:szCs w:val="14"/>
          <w:shd w:val="clear" w:color="auto" w:fill="FFFFFF"/>
          <w:lang w:eastAsia="es-ES"/>
        </w:rPr>
        <w:t>Alia</w:t>
      </w:r>
      <w:proofErr w:type="spellEnd"/>
      <w:r w:rsidRPr="00153EF0">
        <w:rPr>
          <w:rFonts w:ascii="Tahoma" w:eastAsia="Times New Roman" w:hAnsi="Tahoma" w:cs="Tahoma"/>
          <w:color w:val="000000"/>
          <w:sz w:val="14"/>
          <w:szCs w:val="14"/>
          <w:shd w:val="clear" w:color="auto" w:fill="FFFFFF"/>
          <w:lang w:eastAsia="es-ES"/>
        </w:rPr>
        <w:t xml:space="preserve"> </w:t>
      </w:r>
      <w:proofErr w:type="spellStart"/>
      <w:r w:rsidRPr="00153EF0">
        <w:rPr>
          <w:rFonts w:ascii="Tahoma" w:eastAsia="Times New Roman" w:hAnsi="Tahoma" w:cs="Tahoma"/>
          <w:color w:val="000000"/>
          <w:sz w:val="14"/>
          <w:szCs w:val="14"/>
          <w:shd w:val="clear" w:color="auto" w:fill="FFFFFF"/>
          <w:lang w:eastAsia="es-ES"/>
        </w:rPr>
        <w:t>Platinum</w:t>
      </w:r>
      <w:proofErr w:type="spellEnd"/>
      <w:r w:rsidRPr="00153EF0">
        <w:rPr>
          <w:rFonts w:ascii="Tahoma" w:eastAsia="Times New Roman" w:hAnsi="Tahoma" w:cs="Tahoma"/>
          <w:color w:val="000000"/>
          <w:sz w:val="14"/>
          <w:szCs w:val="14"/>
          <w:shd w:val="clear" w:color="auto" w:fill="FFFFFF"/>
          <w:lang w:eastAsia="es-ES"/>
        </w:rPr>
        <w:t xml:space="preserve"> persona natural, American Express </w:t>
      </w:r>
      <w:proofErr w:type="spellStart"/>
      <w:r w:rsidRPr="00153EF0">
        <w:rPr>
          <w:rFonts w:ascii="Tahoma" w:eastAsia="Times New Roman" w:hAnsi="Tahoma" w:cs="Tahoma"/>
          <w:color w:val="000000"/>
          <w:sz w:val="14"/>
          <w:szCs w:val="14"/>
          <w:shd w:val="clear" w:color="auto" w:fill="FFFFFF"/>
          <w:lang w:eastAsia="es-ES"/>
        </w:rPr>
        <w:t>Platinum</w:t>
      </w:r>
      <w:proofErr w:type="spellEnd"/>
      <w:r w:rsidRPr="00153EF0">
        <w:rPr>
          <w:rFonts w:ascii="Tahoma" w:eastAsia="Times New Roman" w:hAnsi="Tahoma" w:cs="Tahoma"/>
          <w:color w:val="000000"/>
          <w:sz w:val="14"/>
          <w:szCs w:val="14"/>
          <w:shd w:val="clear" w:color="auto" w:fill="FFFFFF"/>
          <w:lang w:eastAsia="es-ES"/>
        </w:rPr>
        <w:t>; emitidas a personas jurídicas o naturales que califiquen para este segmento.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d) Segmento C+ y C- Son tarjetas equivalentes a Visa Oro, </w:t>
      </w:r>
      <w:proofErr w:type="spellStart"/>
      <w:r w:rsidRPr="00153EF0">
        <w:rPr>
          <w:rFonts w:ascii="Tahoma" w:eastAsia="Times New Roman" w:hAnsi="Tahoma" w:cs="Tahoma"/>
          <w:color w:val="000000"/>
          <w:sz w:val="14"/>
          <w:szCs w:val="14"/>
          <w:shd w:val="clear" w:color="auto" w:fill="FFFFFF"/>
          <w:lang w:eastAsia="es-ES"/>
        </w:rPr>
        <w:t>Mastercard</w:t>
      </w:r>
      <w:proofErr w:type="spellEnd"/>
      <w:r w:rsidRPr="00153EF0">
        <w:rPr>
          <w:rFonts w:ascii="Tahoma" w:eastAsia="Times New Roman" w:hAnsi="Tahoma" w:cs="Tahoma"/>
          <w:color w:val="000000"/>
          <w:sz w:val="14"/>
          <w:szCs w:val="14"/>
          <w:shd w:val="clear" w:color="auto" w:fill="FFFFFF"/>
          <w:lang w:eastAsia="es-ES"/>
        </w:rPr>
        <w:t xml:space="preserve"> Oro, </w:t>
      </w:r>
      <w:proofErr w:type="spellStart"/>
      <w:r w:rsidRPr="00153EF0">
        <w:rPr>
          <w:rFonts w:ascii="Tahoma" w:eastAsia="Times New Roman" w:hAnsi="Tahoma" w:cs="Tahoma"/>
          <w:color w:val="000000"/>
          <w:sz w:val="14"/>
          <w:szCs w:val="14"/>
          <w:shd w:val="clear" w:color="auto" w:fill="FFFFFF"/>
          <w:lang w:eastAsia="es-ES"/>
        </w:rPr>
        <w:t>Diners</w:t>
      </w:r>
      <w:proofErr w:type="spellEnd"/>
      <w:r w:rsidRPr="00153EF0">
        <w:rPr>
          <w:rFonts w:ascii="Tahoma" w:eastAsia="Times New Roman" w:hAnsi="Tahoma" w:cs="Tahoma"/>
          <w:color w:val="000000"/>
          <w:sz w:val="14"/>
          <w:szCs w:val="14"/>
          <w:shd w:val="clear" w:color="auto" w:fill="FFFFFF"/>
          <w:lang w:eastAsia="es-ES"/>
        </w:rPr>
        <w:t xml:space="preserve"> Club Internacional, </w:t>
      </w:r>
      <w:proofErr w:type="spellStart"/>
      <w:r w:rsidRPr="00153EF0">
        <w:rPr>
          <w:rFonts w:ascii="Tahoma" w:eastAsia="Times New Roman" w:hAnsi="Tahoma" w:cs="Tahoma"/>
          <w:color w:val="000000"/>
          <w:sz w:val="14"/>
          <w:szCs w:val="14"/>
          <w:shd w:val="clear" w:color="auto" w:fill="FFFFFF"/>
          <w:lang w:eastAsia="es-ES"/>
        </w:rPr>
        <w:t>Alia</w:t>
      </w:r>
      <w:proofErr w:type="spellEnd"/>
      <w:r w:rsidRPr="00153EF0">
        <w:rPr>
          <w:rFonts w:ascii="Tahoma" w:eastAsia="Times New Roman" w:hAnsi="Tahoma" w:cs="Tahoma"/>
          <w:color w:val="000000"/>
          <w:sz w:val="14"/>
          <w:szCs w:val="14"/>
          <w:shd w:val="clear" w:color="auto" w:fill="FFFFFF"/>
          <w:lang w:eastAsia="es-ES"/>
        </w:rPr>
        <w:t xml:space="preserve"> Gold persona natural American Express Oro, </w:t>
      </w:r>
      <w:proofErr w:type="spellStart"/>
      <w:r w:rsidRPr="00153EF0">
        <w:rPr>
          <w:rFonts w:ascii="Tahoma" w:eastAsia="Times New Roman" w:hAnsi="Tahoma" w:cs="Tahoma"/>
          <w:color w:val="000000"/>
          <w:sz w:val="14"/>
          <w:szCs w:val="14"/>
          <w:shd w:val="clear" w:color="auto" w:fill="FFFFFF"/>
          <w:lang w:eastAsia="es-ES"/>
        </w:rPr>
        <w:t>Discover</w:t>
      </w:r>
      <w:proofErr w:type="spellEnd"/>
      <w:r w:rsidRPr="00153EF0">
        <w:rPr>
          <w:rFonts w:ascii="Tahoma" w:eastAsia="Times New Roman" w:hAnsi="Tahoma" w:cs="Tahoma"/>
          <w:color w:val="000000"/>
          <w:sz w:val="14"/>
          <w:szCs w:val="14"/>
          <w:shd w:val="clear" w:color="auto" w:fill="FFFFFF"/>
          <w:lang w:eastAsia="es-ES"/>
        </w:rPr>
        <w:t xml:space="preserve"> Me, </w:t>
      </w:r>
      <w:proofErr w:type="spellStart"/>
      <w:r w:rsidRPr="00153EF0">
        <w:rPr>
          <w:rFonts w:ascii="Tahoma" w:eastAsia="Times New Roman" w:hAnsi="Tahoma" w:cs="Tahoma"/>
          <w:color w:val="000000"/>
          <w:sz w:val="14"/>
          <w:szCs w:val="14"/>
          <w:shd w:val="clear" w:color="auto" w:fill="FFFFFF"/>
          <w:lang w:eastAsia="es-ES"/>
        </w:rPr>
        <w:t>Discover</w:t>
      </w:r>
      <w:proofErr w:type="spellEnd"/>
      <w:r w:rsidRPr="00153EF0">
        <w:rPr>
          <w:rFonts w:ascii="Tahoma" w:eastAsia="Times New Roman" w:hAnsi="Tahoma" w:cs="Tahoma"/>
          <w:color w:val="000000"/>
          <w:sz w:val="14"/>
          <w:szCs w:val="14"/>
          <w:shd w:val="clear" w:color="auto" w:fill="FFFFFF"/>
          <w:lang w:eastAsia="es-ES"/>
        </w:rPr>
        <w:t xml:space="preserve"> More; emitidas a personas jurídicas o naturales que califiquen para este segmento.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shd w:val="clear" w:color="auto" w:fill="FFFFFF"/>
          <w:lang w:eastAsia="es-ES"/>
        </w:rPr>
        <w:t xml:space="preserve">e) Segmento D+ y D.- Son tarjetas equivalentes a Visa Internacional (clásica), Master Internacional (clásica), </w:t>
      </w:r>
      <w:proofErr w:type="spellStart"/>
      <w:r w:rsidRPr="00153EF0">
        <w:rPr>
          <w:rFonts w:ascii="Tahoma" w:eastAsia="Times New Roman" w:hAnsi="Tahoma" w:cs="Tahoma"/>
          <w:color w:val="000000"/>
          <w:sz w:val="14"/>
          <w:szCs w:val="14"/>
          <w:shd w:val="clear" w:color="auto" w:fill="FFFFFF"/>
          <w:lang w:eastAsia="es-ES"/>
        </w:rPr>
        <w:t>Alia</w:t>
      </w:r>
      <w:proofErr w:type="spellEnd"/>
      <w:r w:rsidRPr="00153EF0">
        <w:rPr>
          <w:rFonts w:ascii="Tahoma" w:eastAsia="Times New Roman" w:hAnsi="Tahoma" w:cs="Tahoma"/>
          <w:color w:val="000000"/>
          <w:sz w:val="14"/>
          <w:szCs w:val="14"/>
          <w:shd w:val="clear" w:color="auto" w:fill="FFFFFF"/>
          <w:lang w:eastAsia="es-ES"/>
        </w:rPr>
        <w:t xml:space="preserve"> Clásica </w:t>
      </w:r>
      <w:proofErr w:type="spellStart"/>
      <w:r w:rsidRPr="00153EF0">
        <w:rPr>
          <w:rFonts w:ascii="Tahoma" w:eastAsia="Times New Roman" w:hAnsi="Tahoma" w:cs="Tahoma"/>
          <w:color w:val="000000"/>
          <w:sz w:val="14"/>
          <w:szCs w:val="14"/>
          <w:shd w:val="clear" w:color="auto" w:fill="FFFFFF"/>
          <w:lang w:eastAsia="es-ES"/>
        </w:rPr>
        <w:t>Cuotafácil</w:t>
      </w:r>
      <w:proofErr w:type="spellEnd"/>
      <w:r w:rsidRPr="00153EF0">
        <w:rPr>
          <w:rFonts w:ascii="Tahoma" w:eastAsia="Times New Roman" w:hAnsi="Tahoma" w:cs="Tahoma"/>
          <w:color w:val="000000"/>
          <w:sz w:val="14"/>
          <w:szCs w:val="14"/>
          <w:shd w:val="clear" w:color="auto" w:fill="FFFFFF"/>
          <w:lang w:eastAsia="es-ES"/>
        </w:rPr>
        <w:t xml:space="preserve"> persona natural, </w:t>
      </w:r>
      <w:proofErr w:type="spellStart"/>
      <w:r w:rsidRPr="00153EF0">
        <w:rPr>
          <w:rFonts w:ascii="Tahoma" w:eastAsia="Times New Roman" w:hAnsi="Tahoma" w:cs="Tahoma"/>
          <w:color w:val="000000"/>
          <w:sz w:val="14"/>
          <w:szCs w:val="14"/>
          <w:shd w:val="clear" w:color="auto" w:fill="FFFFFF"/>
          <w:lang w:eastAsia="es-ES"/>
        </w:rPr>
        <w:t>Cuotafácil</w:t>
      </w:r>
      <w:proofErr w:type="spellEnd"/>
      <w:r w:rsidRPr="00153EF0">
        <w:rPr>
          <w:rFonts w:ascii="Tahoma" w:eastAsia="Times New Roman" w:hAnsi="Tahoma" w:cs="Tahoma"/>
          <w:color w:val="000000"/>
          <w:sz w:val="14"/>
          <w:szCs w:val="14"/>
          <w:shd w:val="clear" w:color="auto" w:fill="FFFFFF"/>
          <w:lang w:eastAsia="es-ES"/>
        </w:rPr>
        <w:t xml:space="preserve"> persona natural, American Express Verde; emitidas a personas jurídicas o naturales que califiquen para este segmento.</w:t>
      </w:r>
    </w:p>
    <w:p w:rsidR="00431533" w:rsidRPr="00153EF0" w:rsidRDefault="0018394A" w:rsidP="00275878">
      <w:pPr>
        <w:spacing w:after="0" w:line="240" w:lineRule="auto"/>
        <w:jc w:val="both"/>
        <w:rPr>
          <w:rFonts w:ascii="Tahoma" w:eastAsia="Times New Roman" w:hAnsi="Tahoma" w:cs="Tahoma"/>
          <w:color w:val="000000"/>
          <w:sz w:val="14"/>
          <w:szCs w:val="14"/>
          <w:shd w:val="clear" w:color="auto" w:fill="FFFFFF"/>
          <w:lang w:eastAsia="es-ES"/>
        </w:rPr>
      </w:pPr>
      <w:r>
        <w:rPr>
          <w:rFonts w:ascii="Tahoma" w:eastAsia="Times New Roman" w:hAnsi="Tahoma" w:cs="Tahoma"/>
          <w:color w:val="000000"/>
          <w:sz w:val="14"/>
          <w:szCs w:val="14"/>
          <w:shd w:val="clear" w:color="auto" w:fill="FFFFFF"/>
          <w:lang w:eastAsia="es-ES"/>
        </w:rPr>
        <w:t>f</w:t>
      </w:r>
      <w:r w:rsidR="005850DF" w:rsidRPr="00153EF0">
        <w:rPr>
          <w:rFonts w:ascii="Tahoma" w:eastAsia="Times New Roman" w:hAnsi="Tahoma" w:cs="Tahoma"/>
          <w:color w:val="000000"/>
          <w:sz w:val="14"/>
          <w:szCs w:val="14"/>
          <w:shd w:val="clear" w:color="auto" w:fill="FFFFFF"/>
          <w:lang w:eastAsia="es-ES"/>
        </w:rPr>
        <w:t xml:space="preserve">) Segmento E.- Son tarjetas de marca propia o marca internacional con cobertura de consumo y de prestaciones nacionales equivalentes a Visa, </w:t>
      </w:r>
      <w:proofErr w:type="spellStart"/>
      <w:r w:rsidR="005850DF" w:rsidRPr="00153EF0">
        <w:rPr>
          <w:rFonts w:ascii="Tahoma" w:eastAsia="Times New Roman" w:hAnsi="Tahoma" w:cs="Tahoma"/>
          <w:color w:val="000000"/>
          <w:sz w:val="14"/>
          <w:szCs w:val="14"/>
          <w:shd w:val="clear" w:color="auto" w:fill="FFFFFF"/>
          <w:lang w:eastAsia="es-ES"/>
        </w:rPr>
        <w:t>Mastercad</w:t>
      </w:r>
      <w:proofErr w:type="spellEnd"/>
      <w:r w:rsidR="005850DF" w:rsidRPr="00153EF0">
        <w:rPr>
          <w:rFonts w:ascii="Tahoma" w:eastAsia="Times New Roman" w:hAnsi="Tahoma" w:cs="Tahoma"/>
          <w:color w:val="000000"/>
          <w:sz w:val="14"/>
          <w:szCs w:val="14"/>
          <w:shd w:val="clear" w:color="auto" w:fill="FFFFFF"/>
          <w:lang w:eastAsia="es-ES"/>
        </w:rPr>
        <w:t xml:space="preserve">, </w:t>
      </w:r>
      <w:proofErr w:type="spellStart"/>
      <w:r w:rsidR="005850DF" w:rsidRPr="00153EF0">
        <w:rPr>
          <w:rFonts w:ascii="Tahoma" w:eastAsia="Times New Roman" w:hAnsi="Tahoma" w:cs="Tahoma"/>
          <w:color w:val="000000"/>
          <w:sz w:val="14"/>
          <w:szCs w:val="14"/>
          <w:shd w:val="clear" w:color="auto" w:fill="FFFFFF"/>
          <w:lang w:eastAsia="es-ES"/>
        </w:rPr>
        <w:t>Diners</w:t>
      </w:r>
      <w:proofErr w:type="spellEnd"/>
      <w:r w:rsidR="005850DF" w:rsidRPr="00153EF0">
        <w:rPr>
          <w:rFonts w:ascii="Tahoma" w:eastAsia="Times New Roman" w:hAnsi="Tahoma" w:cs="Tahoma"/>
          <w:color w:val="000000"/>
          <w:sz w:val="14"/>
          <w:szCs w:val="14"/>
          <w:shd w:val="clear" w:color="auto" w:fill="FFFFFF"/>
          <w:lang w:eastAsia="es-ES"/>
        </w:rPr>
        <w:t xml:space="preserve"> Club Nacional; emitidas a personas jurídicas o naturales que califiquen para este segmento.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Dentro de cada uno de los segmentos descritos, se considera la sub clasificación "más" (+), que se diferencia de la clasificación regular porque las tarjetas "+" otorgan algún programa de lealtad o recompensa adicional.</w:t>
      </w:r>
    </w:p>
    <w:p w:rsidR="00431533" w:rsidRPr="00153EF0" w:rsidRDefault="005850DF" w:rsidP="00431533">
      <w:pPr>
        <w:spacing w:after="0" w:line="240" w:lineRule="auto"/>
        <w:jc w:val="center"/>
        <w:rPr>
          <w:rFonts w:ascii="Tahoma" w:eastAsia="Times New Roman" w:hAnsi="Tahoma" w:cs="Tahoma"/>
          <w:b/>
          <w:bCs/>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SECCIÓN VIII.- CUPOS PARA LAS TARJETAS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ARTÍCULO 27.- </w:t>
      </w:r>
      <w:r w:rsidRPr="00153EF0">
        <w:rPr>
          <w:rFonts w:ascii="Tahoma" w:eastAsia="Times New Roman" w:hAnsi="Tahoma" w:cs="Tahoma"/>
          <w:color w:val="000000"/>
          <w:sz w:val="14"/>
          <w:szCs w:val="14"/>
          <w:shd w:val="clear" w:color="auto" w:fill="FFFFFF"/>
          <w:lang w:eastAsia="es-ES"/>
        </w:rPr>
        <w:t>Los emisores de tarjetas deberán establecer cupos de crédito, consumo, retiro de efectivo en función del análisis de la capacidad de pago y consumos regulares del tarjetahabiente. La metodología utilizada para la asignación de cupos podrá ser revisada y observada por la Superintendencia de Economía Popular y Solidaria.</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shd w:val="clear" w:color="auto" w:fill="FFFFFF"/>
          <w:lang w:eastAsia="es-ES"/>
        </w:rPr>
        <w:t>En el caso de las tarjetas de prepago, el monto máximo asignado no podrá ser superior a 1.000 dólares y los consumos o retiros en efectivo mensuales no podrán ser superiores a 1.500 dólares.</w:t>
      </w:r>
    </w:p>
    <w:p w:rsidR="005850DF" w:rsidRPr="00153EF0" w:rsidRDefault="005850DF" w:rsidP="00275878">
      <w:pPr>
        <w:spacing w:after="0" w:line="240" w:lineRule="auto"/>
        <w:jc w:val="both"/>
        <w:rPr>
          <w:rFonts w:ascii="Tahoma" w:eastAsia="Times New Roman" w:hAnsi="Tahoma" w:cs="Tahoma"/>
          <w:sz w:val="14"/>
          <w:szCs w:val="14"/>
          <w:lang w:eastAsia="es-ES"/>
        </w:rPr>
      </w:pPr>
    </w:p>
    <w:p w:rsidR="005850DF" w:rsidRPr="00153EF0" w:rsidRDefault="005850DF" w:rsidP="00431533">
      <w:pPr>
        <w:shd w:val="clear" w:color="auto" w:fill="FFFFFF"/>
        <w:spacing w:after="0" w:line="240" w:lineRule="auto"/>
        <w:jc w:val="center"/>
        <w:rPr>
          <w:rFonts w:ascii="Tahoma" w:eastAsia="Times New Roman" w:hAnsi="Tahoma" w:cs="Tahoma"/>
          <w:color w:val="000000"/>
          <w:sz w:val="14"/>
          <w:szCs w:val="14"/>
          <w:lang w:eastAsia="es-ES"/>
        </w:rPr>
      </w:pPr>
      <w:r w:rsidRPr="00153EF0">
        <w:rPr>
          <w:rFonts w:ascii="Tahoma" w:eastAsia="Times New Roman" w:hAnsi="Tahoma" w:cs="Tahoma"/>
          <w:b/>
          <w:bCs/>
          <w:color w:val="000000"/>
          <w:sz w:val="14"/>
          <w:szCs w:val="14"/>
          <w:lang w:eastAsia="es-ES"/>
        </w:rPr>
        <w:t>DISPOSICIONES GENERALES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PRIMERA.- </w:t>
      </w:r>
      <w:r w:rsidRPr="00153EF0">
        <w:rPr>
          <w:rFonts w:ascii="Tahoma" w:eastAsia="Times New Roman" w:hAnsi="Tahoma" w:cs="Tahoma"/>
          <w:color w:val="000000"/>
          <w:sz w:val="14"/>
          <w:szCs w:val="14"/>
          <w:shd w:val="clear" w:color="auto" w:fill="FFFFFF"/>
          <w:lang w:eastAsia="es-ES"/>
        </w:rPr>
        <w:t>Si la Superintendencia de Economía Popular y Solidaria, en sus visitas de inspección, determinare que en los procesos de emisión u operación de tarjetas, de las entidades autorizadas a implementarlos, existen debilidades importantes, podrá proceder a suspender dicha autorización, hasta que, en un plazo razonable, las mismas se superen. Si no llegasen a superarse las debilidades identificadas, en el tiempo establecido, el organismo de control no podrá reiniciar el proceso de revisión hasta después de al menos doce meses.</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SEGUNDA.- </w:t>
      </w:r>
      <w:r w:rsidRPr="00153EF0">
        <w:rPr>
          <w:rFonts w:ascii="Tahoma" w:eastAsia="Times New Roman" w:hAnsi="Tahoma" w:cs="Tahoma"/>
          <w:color w:val="000000"/>
          <w:sz w:val="14"/>
          <w:szCs w:val="14"/>
          <w:shd w:val="clear" w:color="auto" w:fill="FFFFFF"/>
          <w:lang w:eastAsia="es-ES"/>
        </w:rPr>
        <w:t>Las entidades emisoras u operadoras de tarjetas de crédito, podrán cobrar intereses a los establecimientos con los que operan, sobre el monto que cancelen al Servicio de Rentas Internas, por concepto de adelanto de pago del Impuesto al Valor Agregado.</w:t>
      </w:r>
    </w:p>
    <w:p w:rsidR="00431533"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TERCERA.- </w:t>
      </w:r>
      <w:r w:rsidRPr="00153EF0">
        <w:rPr>
          <w:rFonts w:ascii="Tahoma" w:eastAsia="Times New Roman" w:hAnsi="Tahoma" w:cs="Tahoma"/>
          <w:color w:val="000000"/>
          <w:sz w:val="14"/>
          <w:szCs w:val="14"/>
          <w:shd w:val="clear" w:color="auto" w:fill="FFFFFF"/>
          <w:lang w:eastAsia="es-ES"/>
        </w:rPr>
        <w:t>Los casos de duda que en la práctica produjere la aplicación de esta norma serán resueltos por la Superintendencia de Economía Popular y Solidaria.</w:t>
      </w:r>
    </w:p>
    <w:p w:rsidR="005850DF" w:rsidRPr="00153EF0" w:rsidRDefault="005850DF" w:rsidP="00275878">
      <w:pPr>
        <w:spacing w:after="0" w:line="240" w:lineRule="auto"/>
        <w:jc w:val="both"/>
        <w:rPr>
          <w:rFonts w:ascii="Tahoma" w:eastAsia="Times New Roman" w:hAnsi="Tahoma" w:cs="Tahoma"/>
          <w:color w:val="000000"/>
          <w:sz w:val="14"/>
          <w:szCs w:val="14"/>
          <w:shd w:val="clear" w:color="auto" w:fill="FFFFFF"/>
          <w:lang w:eastAsia="es-ES"/>
        </w:rPr>
      </w:pP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DISPOSICIÓN FINAL.- </w:t>
      </w:r>
      <w:r w:rsidRPr="00153EF0">
        <w:rPr>
          <w:rFonts w:ascii="Tahoma" w:eastAsia="Times New Roman" w:hAnsi="Tahoma" w:cs="Tahoma"/>
          <w:color w:val="000000"/>
          <w:sz w:val="14"/>
          <w:szCs w:val="14"/>
          <w:shd w:val="clear" w:color="auto" w:fill="FFFFFF"/>
          <w:lang w:eastAsia="es-ES"/>
        </w:rPr>
        <w:t>Esta resolución entrará en vigencia a partir de la presente fecha, sin perjuicio de su publicación en el Registro Oficial. De su cumplimiento encárguese a la Superintendencia de Economía Popular y Solidaria.</w:t>
      </w:r>
      <w:r w:rsidRPr="00153EF0">
        <w:rPr>
          <w:rFonts w:ascii="Tahoma" w:eastAsia="Times New Roman" w:hAnsi="Tahoma" w:cs="Tahoma"/>
          <w:color w:val="000000"/>
          <w:sz w:val="14"/>
          <w:szCs w:val="14"/>
          <w:lang w:eastAsia="es-ES"/>
        </w:rPr>
        <w:br/>
      </w:r>
      <w:r w:rsidRPr="00153EF0">
        <w:rPr>
          <w:rFonts w:ascii="Tahoma" w:eastAsia="Times New Roman" w:hAnsi="Tahoma" w:cs="Tahoma"/>
          <w:color w:val="000000"/>
          <w:sz w:val="14"/>
          <w:szCs w:val="14"/>
          <w:lang w:eastAsia="es-ES"/>
        </w:rPr>
        <w:br/>
      </w:r>
      <w:r w:rsidRPr="00153EF0">
        <w:rPr>
          <w:rFonts w:ascii="Tahoma" w:eastAsia="Times New Roman" w:hAnsi="Tahoma" w:cs="Tahoma"/>
          <w:b/>
          <w:bCs/>
          <w:color w:val="000000"/>
          <w:sz w:val="14"/>
          <w:szCs w:val="14"/>
          <w:shd w:val="clear" w:color="auto" w:fill="FFFFFF"/>
          <w:lang w:eastAsia="es-ES"/>
        </w:rPr>
        <w:t>COMUNÍQUESE.- </w:t>
      </w:r>
      <w:r w:rsidRPr="00153EF0">
        <w:rPr>
          <w:rFonts w:ascii="Tahoma" w:eastAsia="Times New Roman" w:hAnsi="Tahoma" w:cs="Tahoma"/>
          <w:color w:val="000000"/>
          <w:sz w:val="14"/>
          <w:szCs w:val="14"/>
          <w:shd w:val="clear" w:color="auto" w:fill="FFFFFF"/>
          <w:lang w:eastAsia="es-ES"/>
        </w:rPr>
        <w:t>Dada en el Distrito Metropolitano de Quito, el 16 de diciembre de 2015.</w:t>
      </w:r>
    </w:p>
    <w:p w:rsidR="00431533" w:rsidRPr="00153EF0" w:rsidRDefault="00431533" w:rsidP="00634277">
      <w:pPr>
        <w:shd w:val="clear" w:color="auto" w:fill="FFFFFF"/>
        <w:spacing w:after="0" w:line="240" w:lineRule="auto"/>
        <w:rPr>
          <w:rFonts w:ascii="Tahoma" w:eastAsia="Times New Roman" w:hAnsi="Tahoma" w:cs="Tahoma"/>
          <w:color w:val="000000"/>
          <w:sz w:val="14"/>
          <w:szCs w:val="14"/>
          <w:shd w:val="clear" w:color="auto" w:fill="FFFFFF"/>
          <w:lang w:eastAsia="es-ES"/>
        </w:rPr>
      </w:pPr>
    </w:p>
    <w:p w:rsidR="00431533" w:rsidRPr="00153EF0" w:rsidRDefault="00431533" w:rsidP="00634277">
      <w:pPr>
        <w:shd w:val="clear" w:color="auto" w:fill="FFFFFF"/>
        <w:spacing w:after="0" w:line="240" w:lineRule="auto"/>
        <w:rPr>
          <w:rFonts w:ascii="Tahoma" w:eastAsia="Times New Roman" w:hAnsi="Tahoma" w:cs="Tahoma"/>
          <w:color w:val="000000"/>
          <w:sz w:val="14"/>
          <w:szCs w:val="14"/>
          <w:shd w:val="clear" w:color="auto" w:fill="FFFFFF"/>
          <w:lang w:eastAsia="es-ES"/>
        </w:rPr>
      </w:pPr>
    </w:p>
    <w:p w:rsidR="00153EF0" w:rsidRDefault="00153EF0" w:rsidP="00634277">
      <w:pPr>
        <w:shd w:val="clear" w:color="auto" w:fill="FFFFFF"/>
        <w:spacing w:after="0" w:line="240" w:lineRule="auto"/>
        <w:rPr>
          <w:rFonts w:ascii="Tahoma" w:eastAsia="Times New Roman" w:hAnsi="Tahoma" w:cs="Tahoma"/>
          <w:color w:val="000000"/>
          <w:sz w:val="20"/>
          <w:szCs w:val="20"/>
          <w:shd w:val="clear" w:color="auto" w:fill="FFFFFF"/>
          <w:lang w:eastAsia="es-ES"/>
        </w:rPr>
        <w:sectPr w:rsidR="00153EF0" w:rsidSect="00A76978">
          <w:type w:val="continuous"/>
          <w:pgSz w:w="11906" w:h="16838"/>
          <w:pgMar w:top="1175" w:right="849" w:bottom="1276" w:left="1276" w:header="709" w:footer="708" w:gutter="0"/>
          <w:cols w:num="2" w:space="282"/>
          <w:docGrid w:linePitch="360"/>
        </w:sectPr>
      </w:pPr>
    </w:p>
    <w:p w:rsidR="004C4C63" w:rsidRDefault="004C4C63" w:rsidP="004C4C63">
      <w:pPr>
        <w:shd w:val="clear" w:color="auto" w:fill="FFFFFF"/>
        <w:spacing w:after="0" w:line="240" w:lineRule="auto"/>
        <w:rPr>
          <w:rFonts w:ascii="Tahoma" w:eastAsia="Times New Roman" w:hAnsi="Tahoma" w:cs="Tahoma"/>
          <w:b/>
          <w:bCs/>
          <w:color w:val="000000"/>
          <w:sz w:val="14"/>
          <w:szCs w:val="14"/>
          <w:lang w:eastAsia="es-ES"/>
        </w:rPr>
      </w:pPr>
    </w:p>
    <w:p w:rsidR="0018394A" w:rsidRDefault="0018394A" w:rsidP="00634277">
      <w:pPr>
        <w:shd w:val="clear" w:color="auto" w:fill="FFFFFF"/>
        <w:spacing w:after="0" w:line="240" w:lineRule="auto"/>
        <w:jc w:val="center"/>
        <w:rPr>
          <w:rFonts w:ascii="Tahoma" w:eastAsia="Times New Roman" w:hAnsi="Tahoma" w:cs="Tahoma"/>
          <w:b/>
          <w:bCs/>
          <w:color w:val="000000"/>
          <w:sz w:val="24"/>
          <w:szCs w:val="36"/>
          <w:lang w:eastAsia="es-ES"/>
        </w:rPr>
      </w:pPr>
    </w:p>
    <w:p w:rsidR="005850DF" w:rsidRPr="00931822" w:rsidRDefault="00931822" w:rsidP="00931822">
      <w:pPr>
        <w:pStyle w:val="Prrafodelista"/>
        <w:numPr>
          <w:ilvl w:val="0"/>
          <w:numId w:val="14"/>
        </w:numPr>
        <w:shd w:val="clear" w:color="auto" w:fill="FFFFFF"/>
        <w:spacing w:after="0" w:line="240" w:lineRule="auto"/>
        <w:rPr>
          <w:rFonts w:ascii="Tahoma" w:eastAsia="Times New Roman" w:hAnsi="Tahoma" w:cs="Tahoma"/>
          <w:color w:val="000000"/>
          <w:sz w:val="18"/>
          <w:szCs w:val="18"/>
          <w:lang w:eastAsia="es-ES"/>
        </w:rPr>
      </w:pPr>
      <w:r>
        <w:rPr>
          <w:rFonts w:ascii="Tahoma" w:eastAsia="Times New Roman" w:hAnsi="Tahoma" w:cs="Tahoma"/>
          <w:b/>
          <w:bCs/>
          <w:color w:val="0070C0"/>
          <w:sz w:val="18"/>
          <w:szCs w:val="18"/>
          <w:lang w:eastAsia="es-ES"/>
        </w:rPr>
        <w:t xml:space="preserve">Resolución </w:t>
      </w:r>
      <w:r w:rsidR="005850DF" w:rsidRPr="00931822">
        <w:rPr>
          <w:rFonts w:ascii="Tahoma" w:eastAsia="Times New Roman" w:hAnsi="Tahoma" w:cs="Tahoma"/>
          <w:b/>
          <w:bCs/>
          <w:color w:val="0070C0"/>
          <w:sz w:val="18"/>
          <w:szCs w:val="18"/>
          <w:lang w:eastAsia="es-ES"/>
        </w:rPr>
        <w:t>SCVS-INS-2015-0018:</w:t>
      </w:r>
      <w:r w:rsidR="005850DF" w:rsidRPr="00931822">
        <w:rPr>
          <w:rFonts w:ascii="Tahoma" w:eastAsia="Times New Roman" w:hAnsi="Tahoma" w:cs="Tahoma"/>
          <w:bCs/>
          <w:color w:val="0070C0"/>
          <w:sz w:val="18"/>
          <w:szCs w:val="18"/>
          <w:lang w:eastAsia="es-ES"/>
        </w:rPr>
        <w:t xml:space="preserve"> </w:t>
      </w:r>
      <w:r w:rsidR="005850DF" w:rsidRPr="00931822">
        <w:rPr>
          <w:rFonts w:ascii="Tahoma" w:eastAsia="Times New Roman" w:hAnsi="Tahoma" w:cs="Tahoma"/>
          <w:bCs/>
          <w:color w:val="000000"/>
          <w:sz w:val="18"/>
          <w:szCs w:val="18"/>
          <w:lang w:eastAsia="es-ES"/>
        </w:rPr>
        <w:t>Refórmese a la Resolución No. SCVS-INS-2015-013 del 12 de septiembre de 2015</w:t>
      </w:r>
    </w:p>
    <w:p w:rsidR="004C4C63" w:rsidRDefault="005850DF" w:rsidP="00431533">
      <w:pPr>
        <w:shd w:val="clear" w:color="auto" w:fill="FFFFFF"/>
        <w:spacing w:after="0" w:line="240" w:lineRule="auto"/>
        <w:jc w:val="center"/>
        <w:rPr>
          <w:rFonts w:ascii="Tahoma" w:eastAsia="Times New Roman" w:hAnsi="Tahoma" w:cs="Tahoma"/>
          <w:b/>
          <w:bCs/>
          <w:color w:val="000000"/>
          <w:sz w:val="16"/>
          <w:szCs w:val="16"/>
          <w:lang w:eastAsia="es-ES"/>
        </w:rPr>
        <w:sectPr w:rsidR="004C4C63" w:rsidSect="00A76978">
          <w:type w:val="continuous"/>
          <w:pgSz w:w="11906" w:h="16838"/>
          <w:pgMar w:top="1175" w:right="849" w:bottom="1276" w:left="1276" w:header="709" w:footer="708" w:gutter="0"/>
          <w:cols w:space="708"/>
          <w:docGrid w:linePitch="360"/>
        </w:sectPr>
      </w:pPr>
      <w:r w:rsidRPr="00634277">
        <w:rPr>
          <w:rFonts w:ascii="Tahoma" w:eastAsia="Times New Roman" w:hAnsi="Tahoma" w:cs="Tahoma"/>
          <w:color w:val="000000"/>
          <w:sz w:val="16"/>
          <w:szCs w:val="16"/>
          <w:lang w:eastAsia="es-ES"/>
        </w:rPr>
        <w:br/>
      </w:r>
      <w:bookmarkStart w:id="1" w:name="SCVS-INS-2015-018(676-16)"/>
      <w:bookmarkEnd w:id="1"/>
    </w:p>
    <w:p w:rsidR="005850DF" w:rsidRPr="004C4C63" w:rsidRDefault="005850DF" w:rsidP="00431533">
      <w:pPr>
        <w:shd w:val="clear" w:color="auto" w:fill="FFFFFF"/>
        <w:spacing w:after="0" w:line="240" w:lineRule="auto"/>
        <w:jc w:val="center"/>
        <w:rPr>
          <w:rFonts w:ascii="Tahoma" w:eastAsia="Times New Roman" w:hAnsi="Tahoma" w:cs="Tahoma"/>
          <w:b/>
          <w:bCs/>
          <w:color w:val="000000"/>
          <w:sz w:val="14"/>
          <w:szCs w:val="14"/>
          <w:lang w:eastAsia="es-ES"/>
        </w:rPr>
      </w:pPr>
      <w:r w:rsidRPr="004C4C63">
        <w:rPr>
          <w:rFonts w:ascii="Tahoma" w:eastAsia="Times New Roman" w:hAnsi="Tahoma" w:cs="Tahoma"/>
          <w:b/>
          <w:bCs/>
          <w:color w:val="000000"/>
          <w:sz w:val="14"/>
          <w:szCs w:val="14"/>
          <w:lang w:eastAsia="es-ES"/>
        </w:rPr>
        <w:lastRenderedPageBreak/>
        <w:t>Resuelve:</w:t>
      </w:r>
    </w:p>
    <w:p w:rsidR="00431533" w:rsidRPr="004C4C63" w:rsidRDefault="00431533" w:rsidP="00431533">
      <w:pPr>
        <w:shd w:val="clear" w:color="auto" w:fill="FFFFFF"/>
        <w:spacing w:after="0" w:line="240" w:lineRule="auto"/>
        <w:jc w:val="both"/>
        <w:rPr>
          <w:rFonts w:ascii="Tahoma" w:eastAsia="Times New Roman" w:hAnsi="Tahoma" w:cs="Tahoma"/>
          <w:color w:val="000000"/>
          <w:sz w:val="14"/>
          <w:szCs w:val="14"/>
          <w:lang w:eastAsia="es-ES"/>
        </w:rPr>
      </w:pPr>
    </w:p>
    <w:p w:rsidR="00431533" w:rsidRPr="004C4C63" w:rsidRDefault="005850DF" w:rsidP="00431533">
      <w:pPr>
        <w:spacing w:after="0" w:line="240" w:lineRule="auto"/>
        <w:jc w:val="both"/>
        <w:rPr>
          <w:rFonts w:ascii="Tahoma" w:eastAsia="Times New Roman" w:hAnsi="Tahoma" w:cs="Tahoma"/>
          <w:b/>
          <w:bCs/>
          <w:color w:val="000000"/>
          <w:sz w:val="14"/>
          <w:szCs w:val="14"/>
          <w:shd w:val="clear" w:color="auto" w:fill="FFFFFF"/>
          <w:lang w:eastAsia="es-ES"/>
        </w:rPr>
      </w:pPr>
      <w:r w:rsidRPr="004C4C63">
        <w:rPr>
          <w:rFonts w:ascii="Tahoma" w:eastAsia="Times New Roman" w:hAnsi="Tahoma" w:cs="Tahoma"/>
          <w:b/>
          <w:bCs/>
          <w:color w:val="000000"/>
          <w:sz w:val="14"/>
          <w:szCs w:val="14"/>
          <w:shd w:val="clear" w:color="auto" w:fill="FFFFFF"/>
          <w:lang w:eastAsia="es-ES"/>
        </w:rPr>
        <w:t>EXPEDIR LAS SIGUIENTES REFORMAS A LA RESOLUCIÓN No. SCVS-INS-2015-013 DEL 12 DE SEPTIEMBRE DE 2015:</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shd w:val="clear" w:color="auto" w:fill="FFFFFF"/>
          <w:lang w:eastAsia="es-ES"/>
        </w:rPr>
        <w:t>ARTÍCULO PRIMERO: </w:t>
      </w:r>
      <w:r w:rsidRPr="004C4C63">
        <w:rPr>
          <w:rFonts w:ascii="Tahoma" w:eastAsia="Times New Roman" w:hAnsi="Tahoma" w:cs="Tahoma"/>
          <w:color w:val="000000"/>
          <w:sz w:val="14"/>
          <w:szCs w:val="14"/>
          <w:shd w:val="clear" w:color="auto" w:fill="FFFFFF"/>
          <w:lang w:eastAsia="es-ES"/>
        </w:rPr>
        <w:t>Agregar como Disposición General Quinta, lo siguiente:</w:t>
      </w:r>
    </w:p>
    <w:p w:rsidR="00431533" w:rsidRPr="004C4C63" w:rsidRDefault="005850DF" w:rsidP="00431533">
      <w:pPr>
        <w:spacing w:after="0" w:line="240" w:lineRule="auto"/>
        <w:jc w:val="both"/>
        <w:rPr>
          <w:rFonts w:ascii="Tahoma" w:eastAsia="Times New Roman" w:hAnsi="Tahoma" w:cs="Tahoma"/>
          <w:i/>
          <w:iCs/>
          <w:color w:val="000000"/>
          <w:sz w:val="14"/>
          <w:szCs w:val="14"/>
          <w:shd w:val="clear" w:color="auto" w:fill="FFFFFF"/>
          <w:lang w:eastAsia="es-ES"/>
        </w:rPr>
      </w:pPr>
      <w:r w:rsidRPr="004C4C63">
        <w:rPr>
          <w:rFonts w:ascii="Tahoma" w:eastAsia="Times New Roman" w:hAnsi="Tahoma" w:cs="Tahoma"/>
          <w:color w:val="000000"/>
          <w:sz w:val="14"/>
          <w:szCs w:val="14"/>
          <w:lang w:eastAsia="es-ES"/>
        </w:rPr>
        <w:lastRenderedPageBreak/>
        <w:br/>
      </w:r>
      <w:r w:rsidRPr="004C4C63">
        <w:rPr>
          <w:rFonts w:ascii="Tahoma" w:eastAsia="Times New Roman" w:hAnsi="Tahoma" w:cs="Tahoma"/>
          <w:i/>
          <w:iCs/>
          <w:color w:val="000000"/>
          <w:sz w:val="14"/>
          <w:szCs w:val="14"/>
          <w:shd w:val="clear" w:color="auto" w:fill="FFFFFF"/>
          <w:lang w:eastAsia="es-ES"/>
        </w:rPr>
        <w:t>"QUINTA.- En todo reclamo, petición o recurso que se formule dentro del ámbito que regula el presente reglamento, se señalará una dirección de correo electrónico para recibir notificaciones. Igual deber tendrán quienes comparezcan como contraparte o como terceros, dentro de aquellos trámites administrativos.</w:t>
      </w:r>
    </w:p>
    <w:p w:rsidR="00431533" w:rsidRPr="004C4C63" w:rsidRDefault="005850DF" w:rsidP="00431533">
      <w:pPr>
        <w:spacing w:after="0" w:line="240" w:lineRule="auto"/>
        <w:jc w:val="both"/>
        <w:rPr>
          <w:rFonts w:ascii="Tahoma" w:eastAsia="Times New Roman" w:hAnsi="Tahoma" w:cs="Tahoma"/>
          <w:i/>
          <w:iCs/>
          <w:color w:val="000000"/>
          <w:sz w:val="14"/>
          <w:szCs w:val="14"/>
          <w:shd w:val="clear" w:color="auto" w:fill="FFFFFF"/>
          <w:lang w:eastAsia="es-ES"/>
        </w:rPr>
      </w:pPr>
      <w:r w:rsidRPr="004C4C63">
        <w:rPr>
          <w:rFonts w:ascii="Tahoma" w:eastAsia="Times New Roman" w:hAnsi="Tahoma" w:cs="Tahoma"/>
          <w:color w:val="000000"/>
          <w:sz w:val="14"/>
          <w:szCs w:val="14"/>
          <w:lang w:eastAsia="es-ES"/>
        </w:rPr>
        <w:lastRenderedPageBreak/>
        <w:br/>
      </w:r>
      <w:r w:rsidRPr="004C4C63">
        <w:rPr>
          <w:rFonts w:ascii="Tahoma" w:eastAsia="Times New Roman" w:hAnsi="Tahoma" w:cs="Tahoma"/>
          <w:i/>
          <w:iCs/>
          <w:color w:val="000000"/>
          <w:sz w:val="14"/>
          <w:szCs w:val="14"/>
          <w:shd w:val="clear" w:color="auto" w:fill="FFFFFF"/>
          <w:lang w:eastAsia="es-ES"/>
        </w:rPr>
        <w:t>En caso de existir más de correo electrónico señalado, se procederá a notificar al primero que haya sido indicado, con lo cual quedará cumplida la notificación. La sustitución de dirección electrónica para recibir notificaciones deberá solicitarse por escrito.</w:t>
      </w:r>
    </w:p>
    <w:p w:rsidR="004C4C63" w:rsidRDefault="005850DF" w:rsidP="00431533">
      <w:pPr>
        <w:spacing w:after="0" w:line="240" w:lineRule="auto"/>
        <w:jc w:val="both"/>
        <w:rPr>
          <w:rFonts w:ascii="Tahoma" w:eastAsia="Times New Roman" w:hAnsi="Tahoma" w:cs="Tahoma"/>
          <w:i/>
          <w:iCs/>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i/>
          <w:iCs/>
          <w:color w:val="000000"/>
          <w:sz w:val="14"/>
          <w:szCs w:val="14"/>
          <w:shd w:val="clear" w:color="auto" w:fill="FFFFFF"/>
          <w:lang w:eastAsia="es-ES"/>
        </w:rPr>
        <w:t>A falta de señalamiento, las actuaciones, comunicaciones o providencias se entenderán notificadas, el día de su expedición.</w:t>
      </w:r>
    </w:p>
    <w:p w:rsidR="00431533" w:rsidRPr="004C4C63" w:rsidRDefault="005850DF" w:rsidP="00431533">
      <w:pPr>
        <w:spacing w:after="0" w:line="240" w:lineRule="auto"/>
        <w:jc w:val="both"/>
        <w:rPr>
          <w:rFonts w:ascii="Tahoma" w:eastAsia="Times New Roman" w:hAnsi="Tahoma" w:cs="Tahoma"/>
          <w:i/>
          <w:iCs/>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i/>
          <w:iCs/>
          <w:color w:val="000000"/>
          <w:sz w:val="14"/>
          <w:szCs w:val="14"/>
          <w:shd w:val="clear" w:color="auto" w:fill="FFFFFF"/>
          <w:lang w:eastAsia="es-ES"/>
        </w:rPr>
        <w:t>Excepcionalmente ante la alegación del reclamante, persona natural, sobre su imposibilidad de contar con un correo electrónico, podrá ser notificado en su dirección domiciliaria, casilla judicial o en las oficinas de esta Superintendencia. "</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shd w:val="clear" w:color="auto" w:fill="FFFFFF"/>
          <w:lang w:eastAsia="es-ES"/>
        </w:rPr>
        <w:t>ARTÍCULO SEGUNDO: </w:t>
      </w:r>
      <w:r w:rsidRPr="004C4C63">
        <w:rPr>
          <w:rFonts w:ascii="Tahoma" w:eastAsia="Times New Roman" w:hAnsi="Tahoma" w:cs="Tahoma"/>
          <w:color w:val="000000"/>
          <w:sz w:val="14"/>
          <w:szCs w:val="14"/>
          <w:shd w:val="clear" w:color="auto" w:fill="FFFFFF"/>
          <w:lang w:eastAsia="es-ES"/>
        </w:rPr>
        <w:t>Sustituir el texto de la Disposición General Segunda, por el siguiente:</w:t>
      </w:r>
    </w:p>
    <w:p w:rsidR="00431533" w:rsidRPr="004C4C63" w:rsidRDefault="005850DF" w:rsidP="00431533">
      <w:pPr>
        <w:spacing w:after="0" w:line="240" w:lineRule="auto"/>
        <w:jc w:val="both"/>
        <w:rPr>
          <w:rFonts w:ascii="Tahoma" w:eastAsia="Times New Roman" w:hAnsi="Tahoma" w:cs="Tahoma"/>
          <w:i/>
          <w:iCs/>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i/>
          <w:iCs/>
          <w:color w:val="000000"/>
          <w:sz w:val="14"/>
          <w:szCs w:val="14"/>
          <w:shd w:val="clear" w:color="auto" w:fill="FFFFFF"/>
          <w:lang w:eastAsia="es-ES"/>
        </w:rPr>
        <w:t xml:space="preserve">"Los servidores de las diversas áreas administrativas están impedidos de </w:t>
      </w:r>
      <w:r w:rsidRPr="004C4C63">
        <w:rPr>
          <w:rFonts w:ascii="Tahoma" w:eastAsia="Times New Roman" w:hAnsi="Tahoma" w:cs="Tahoma"/>
          <w:i/>
          <w:iCs/>
          <w:color w:val="000000"/>
          <w:sz w:val="14"/>
          <w:szCs w:val="14"/>
          <w:shd w:val="clear" w:color="auto" w:fill="FFFFFF"/>
          <w:lang w:eastAsia="es-ES"/>
        </w:rPr>
        <w:lastRenderedPageBreak/>
        <w:t>dar a conocer a las partes que intervienen en el reclamo administrativo, o a sus abogados patrocinadores, el contenido de los informes previo a emitir ya sea las resoluciones u oficios con los que se decidan en lo principal los casos, bajo prevenciones disciplinarias. "</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shd w:val="clear" w:color="auto" w:fill="FFFFFF"/>
          <w:lang w:eastAsia="es-ES"/>
        </w:rPr>
        <w:t>ARTÍCULO TERCERO: </w:t>
      </w:r>
      <w:r w:rsidRPr="004C4C63">
        <w:rPr>
          <w:rFonts w:ascii="Tahoma" w:eastAsia="Times New Roman" w:hAnsi="Tahoma" w:cs="Tahoma"/>
          <w:color w:val="000000"/>
          <w:sz w:val="14"/>
          <w:szCs w:val="14"/>
          <w:shd w:val="clear" w:color="auto" w:fill="FFFFFF"/>
          <w:lang w:eastAsia="es-ES"/>
        </w:rPr>
        <w:t>Se derogan expresamente las siguientes disposiciones:</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color w:val="000000"/>
          <w:sz w:val="14"/>
          <w:szCs w:val="14"/>
          <w:shd w:val="clear" w:color="auto" w:fill="FFFFFF"/>
          <w:lang w:eastAsia="es-ES"/>
        </w:rPr>
        <w:t xml:space="preserve">- En el artículo 12, el acápite 12.3, y </w:t>
      </w:r>
      <w:proofErr w:type="spellStart"/>
      <w:r w:rsidRPr="004C4C63">
        <w:rPr>
          <w:rFonts w:ascii="Tahoma" w:eastAsia="Times New Roman" w:hAnsi="Tahoma" w:cs="Tahoma"/>
          <w:color w:val="000000"/>
          <w:sz w:val="14"/>
          <w:szCs w:val="14"/>
          <w:shd w:val="clear" w:color="auto" w:fill="FFFFFF"/>
          <w:lang w:eastAsia="es-ES"/>
        </w:rPr>
        <w:t>renumérese</w:t>
      </w:r>
      <w:proofErr w:type="spellEnd"/>
      <w:r w:rsidRPr="004C4C63">
        <w:rPr>
          <w:rFonts w:ascii="Tahoma" w:eastAsia="Times New Roman" w:hAnsi="Tahoma" w:cs="Tahoma"/>
          <w:color w:val="000000"/>
          <w:sz w:val="14"/>
          <w:szCs w:val="14"/>
          <w:shd w:val="clear" w:color="auto" w:fill="FFFFFF"/>
          <w:lang w:eastAsia="es-ES"/>
        </w:rPr>
        <w:t xml:space="preserve"> el 12.4 como 12.3;</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shd w:val="clear" w:color="auto" w:fill="FFFFFF"/>
          <w:lang w:eastAsia="es-ES"/>
        </w:rPr>
        <w:t xml:space="preserve">- En el artículo 19, el acápite 19.3, y </w:t>
      </w:r>
      <w:proofErr w:type="spellStart"/>
      <w:r w:rsidRPr="004C4C63">
        <w:rPr>
          <w:rFonts w:ascii="Tahoma" w:eastAsia="Times New Roman" w:hAnsi="Tahoma" w:cs="Tahoma"/>
          <w:color w:val="000000"/>
          <w:sz w:val="14"/>
          <w:szCs w:val="14"/>
          <w:shd w:val="clear" w:color="auto" w:fill="FFFFFF"/>
          <w:lang w:eastAsia="es-ES"/>
        </w:rPr>
        <w:t>renumérese</w:t>
      </w:r>
      <w:proofErr w:type="spellEnd"/>
      <w:r w:rsidRPr="004C4C63">
        <w:rPr>
          <w:rFonts w:ascii="Tahoma" w:eastAsia="Times New Roman" w:hAnsi="Tahoma" w:cs="Tahoma"/>
          <w:color w:val="000000"/>
          <w:sz w:val="14"/>
          <w:szCs w:val="14"/>
          <w:shd w:val="clear" w:color="auto" w:fill="FFFFFF"/>
          <w:lang w:eastAsia="es-ES"/>
        </w:rPr>
        <w:t xml:space="preserve"> el 19.4 como 19.3.</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b/>
          <w:bCs/>
          <w:color w:val="000000"/>
          <w:sz w:val="14"/>
          <w:szCs w:val="14"/>
          <w:shd w:val="clear" w:color="auto" w:fill="FFFFFF"/>
          <w:lang w:eastAsia="es-ES"/>
        </w:rPr>
        <w:t>DISPOSICIÓN FINAL.- </w:t>
      </w:r>
      <w:r w:rsidRPr="004C4C63">
        <w:rPr>
          <w:rFonts w:ascii="Tahoma" w:eastAsia="Times New Roman" w:hAnsi="Tahoma" w:cs="Tahoma"/>
          <w:color w:val="000000"/>
          <w:sz w:val="14"/>
          <w:szCs w:val="14"/>
          <w:shd w:val="clear" w:color="auto" w:fill="FFFFFF"/>
          <w:lang w:eastAsia="es-ES"/>
        </w:rPr>
        <w:t>La presente resolución entrará en vigencia desde su expedición, sin perjuicio de su publicación en el Registro Oficial.</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color w:val="000000"/>
          <w:sz w:val="14"/>
          <w:szCs w:val="14"/>
          <w:shd w:val="clear" w:color="auto" w:fill="FFFFFF"/>
          <w:lang w:eastAsia="es-ES"/>
        </w:rPr>
        <w:t>Dada en la Superintendencia de Compañías, Valores y Seguros, en la ciudad de Guayaquil, a los once días del mes de Diciembre de dos mil quince.</w:t>
      </w:r>
    </w:p>
    <w:p w:rsidR="004C4C63" w:rsidRDefault="004C4C63" w:rsidP="00431533">
      <w:pPr>
        <w:spacing w:after="0" w:line="240" w:lineRule="auto"/>
        <w:jc w:val="both"/>
        <w:rPr>
          <w:rFonts w:ascii="Tahoma" w:eastAsia="Times New Roman" w:hAnsi="Tahoma" w:cs="Tahoma"/>
          <w:color w:val="000000"/>
          <w:sz w:val="16"/>
          <w:szCs w:val="16"/>
          <w:shd w:val="clear" w:color="auto" w:fill="FFFFFF"/>
          <w:lang w:eastAsia="es-ES"/>
        </w:rPr>
        <w:sectPr w:rsidR="004C4C63" w:rsidSect="004C4C63">
          <w:type w:val="continuous"/>
          <w:pgSz w:w="11906" w:h="16838"/>
          <w:pgMar w:top="1175" w:right="849" w:bottom="1276" w:left="1276" w:header="709" w:footer="708" w:gutter="0"/>
          <w:cols w:num="2" w:space="425"/>
          <w:docGrid w:linePitch="360"/>
        </w:sectPr>
      </w:pPr>
    </w:p>
    <w:p w:rsidR="00431533" w:rsidRDefault="00431533" w:rsidP="00431533">
      <w:pPr>
        <w:spacing w:after="0" w:line="240" w:lineRule="auto"/>
        <w:jc w:val="both"/>
        <w:rPr>
          <w:rFonts w:ascii="Tahoma" w:eastAsia="Times New Roman" w:hAnsi="Tahoma" w:cs="Tahoma"/>
          <w:color w:val="000000"/>
          <w:sz w:val="16"/>
          <w:szCs w:val="16"/>
          <w:shd w:val="clear" w:color="auto" w:fill="FFFFFF"/>
          <w:lang w:eastAsia="es-ES"/>
        </w:rPr>
      </w:pPr>
    </w:p>
    <w:p w:rsidR="00431533" w:rsidRDefault="00431533" w:rsidP="00431533">
      <w:pPr>
        <w:spacing w:after="0" w:line="240" w:lineRule="auto"/>
        <w:jc w:val="both"/>
        <w:rPr>
          <w:rFonts w:ascii="Tahoma" w:eastAsia="Times New Roman" w:hAnsi="Tahoma" w:cs="Tahoma"/>
          <w:color w:val="000000"/>
          <w:sz w:val="16"/>
          <w:szCs w:val="16"/>
          <w:shd w:val="clear" w:color="auto" w:fill="FFFFFF"/>
          <w:lang w:eastAsia="es-ES"/>
        </w:rPr>
      </w:pPr>
    </w:p>
    <w:p w:rsidR="00931822" w:rsidRPr="004C4C63" w:rsidRDefault="00931822" w:rsidP="00931822">
      <w:pPr>
        <w:spacing w:after="0" w:line="240" w:lineRule="auto"/>
        <w:rPr>
          <w:rFonts w:ascii="Tahoma" w:hAnsi="Tahoma" w:cs="Tahoma"/>
          <w:b/>
          <w:bCs/>
          <w:color w:val="000000"/>
          <w:sz w:val="20"/>
          <w:szCs w:val="16"/>
          <w:highlight w:val="yellow"/>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p>
    <w:p w:rsidR="005850DF" w:rsidRPr="00931822" w:rsidRDefault="00931822" w:rsidP="00931822">
      <w:pPr>
        <w:pStyle w:val="Prrafodelista"/>
        <w:numPr>
          <w:ilvl w:val="0"/>
          <w:numId w:val="12"/>
        </w:numPr>
        <w:spacing w:after="0" w:line="240" w:lineRule="auto"/>
        <w:jc w:val="both"/>
        <w:rPr>
          <w:rFonts w:ascii="Tahoma" w:eastAsia="Times New Roman" w:hAnsi="Tahoma" w:cs="Tahoma"/>
          <w:color w:val="000000"/>
          <w:sz w:val="18"/>
          <w:szCs w:val="18"/>
          <w:lang w:eastAsia="es-ES"/>
        </w:rPr>
      </w:pPr>
      <w:r w:rsidRPr="00931822">
        <w:rPr>
          <w:rFonts w:ascii="Tahoma" w:eastAsia="Times New Roman" w:hAnsi="Tahoma" w:cs="Tahoma"/>
          <w:b/>
          <w:bCs/>
          <w:color w:val="0070C0"/>
          <w:sz w:val="18"/>
          <w:szCs w:val="18"/>
          <w:lang w:eastAsia="es-ES"/>
        </w:rPr>
        <w:t xml:space="preserve">Resolución </w:t>
      </w:r>
      <w:r w:rsidR="005850DF" w:rsidRPr="00931822">
        <w:rPr>
          <w:rFonts w:ascii="Tahoma" w:eastAsia="Times New Roman" w:hAnsi="Tahoma" w:cs="Tahoma"/>
          <w:b/>
          <w:bCs/>
          <w:color w:val="0070C0"/>
          <w:sz w:val="18"/>
          <w:szCs w:val="18"/>
          <w:lang w:eastAsia="es-ES"/>
        </w:rPr>
        <w:t>SCVS-DSC.15-0019:</w:t>
      </w:r>
      <w:r w:rsidR="005850DF" w:rsidRPr="00931822">
        <w:rPr>
          <w:rFonts w:ascii="Tahoma" w:eastAsia="Times New Roman" w:hAnsi="Tahoma" w:cs="Tahoma"/>
          <w:bCs/>
          <w:color w:val="0070C0"/>
          <w:sz w:val="18"/>
          <w:szCs w:val="18"/>
          <w:lang w:eastAsia="es-ES"/>
        </w:rPr>
        <w:t xml:space="preserve"> </w:t>
      </w:r>
      <w:r w:rsidR="005850DF" w:rsidRPr="00931822">
        <w:rPr>
          <w:rFonts w:ascii="Tahoma" w:eastAsia="Times New Roman" w:hAnsi="Tahoma" w:cs="Tahoma"/>
          <w:bCs/>
          <w:color w:val="000000"/>
          <w:sz w:val="18"/>
          <w:szCs w:val="18"/>
          <w:lang w:eastAsia="es-ES"/>
        </w:rPr>
        <w:t>Refórmese el Reglamento para el control de las ventas a crédito y de la emisión de tarjetas de circulación restringida, por parte de las compañías sujetas a la supervisión de la superintendencia de compañías, valores y seguros</w:t>
      </w:r>
      <w:r>
        <w:rPr>
          <w:rFonts w:ascii="Tahoma" w:eastAsia="Times New Roman" w:hAnsi="Tahoma" w:cs="Tahoma"/>
          <w:bCs/>
          <w:color w:val="000000"/>
          <w:sz w:val="18"/>
          <w:szCs w:val="18"/>
          <w:lang w:eastAsia="es-ES"/>
        </w:rPr>
        <w:t>.</w:t>
      </w:r>
    </w:p>
    <w:p w:rsidR="00E262EE" w:rsidRDefault="00E262EE" w:rsidP="00634277">
      <w:pPr>
        <w:shd w:val="clear" w:color="auto" w:fill="FFFFFF"/>
        <w:spacing w:after="0" w:line="240" w:lineRule="auto"/>
        <w:jc w:val="center"/>
        <w:rPr>
          <w:rFonts w:ascii="Tahoma" w:eastAsia="Times New Roman" w:hAnsi="Tahoma" w:cs="Tahoma"/>
          <w:color w:val="000000"/>
          <w:sz w:val="20"/>
          <w:szCs w:val="20"/>
          <w:lang w:eastAsia="es-ES"/>
        </w:rPr>
      </w:pPr>
    </w:p>
    <w:p w:rsidR="004C4C63" w:rsidRDefault="004C4C63" w:rsidP="00634277">
      <w:pPr>
        <w:shd w:val="clear" w:color="auto" w:fill="FFFFFF"/>
        <w:spacing w:after="0" w:line="240" w:lineRule="auto"/>
        <w:jc w:val="center"/>
        <w:rPr>
          <w:rFonts w:ascii="Tahoma" w:eastAsia="Times New Roman" w:hAnsi="Tahoma" w:cs="Tahoma"/>
          <w:b/>
          <w:bCs/>
          <w:color w:val="000000"/>
          <w:sz w:val="16"/>
          <w:szCs w:val="16"/>
          <w:lang w:eastAsia="es-ES"/>
        </w:rPr>
        <w:sectPr w:rsidR="004C4C63" w:rsidSect="00A76978">
          <w:type w:val="continuous"/>
          <w:pgSz w:w="11906" w:h="16838"/>
          <w:pgMar w:top="1175" w:right="849" w:bottom="1276" w:left="1276" w:header="709" w:footer="708" w:gutter="0"/>
          <w:cols w:space="708"/>
          <w:docGrid w:linePitch="360"/>
        </w:sectPr>
      </w:pPr>
      <w:bookmarkStart w:id="2" w:name="SCVS.DSC.15.0019(676-16)"/>
      <w:bookmarkEnd w:id="2"/>
    </w:p>
    <w:p w:rsidR="005850DF" w:rsidRPr="004C4C63" w:rsidRDefault="005850DF" w:rsidP="00634277">
      <w:pPr>
        <w:shd w:val="clear" w:color="auto" w:fill="FFFFFF"/>
        <w:spacing w:after="0" w:line="240" w:lineRule="auto"/>
        <w:jc w:val="center"/>
        <w:rPr>
          <w:rFonts w:ascii="Tahoma" w:eastAsia="Times New Roman" w:hAnsi="Tahoma" w:cs="Tahoma"/>
          <w:color w:val="000000"/>
          <w:sz w:val="14"/>
          <w:szCs w:val="14"/>
          <w:lang w:eastAsia="es-ES"/>
        </w:rPr>
      </w:pPr>
      <w:r w:rsidRPr="004C4C63">
        <w:rPr>
          <w:rFonts w:ascii="Tahoma" w:eastAsia="Times New Roman" w:hAnsi="Tahoma" w:cs="Tahoma"/>
          <w:b/>
          <w:bCs/>
          <w:color w:val="000000"/>
          <w:sz w:val="14"/>
          <w:szCs w:val="14"/>
          <w:lang w:eastAsia="es-ES"/>
        </w:rPr>
        <w:lastRenderedPageBreak/>
        <w:t>Resuelve: </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color w:val="000000"/>
          <w:sz w:val="14"/>
          <w:szCs w:val="14"/>
          <w:shd w:val="clear" w:color="auto" w:fill="FFFFFF"/>
          <w:lang w:eastAsia="es-ES"/>
        </w:rPr>
        <w:t>Expedir la siguiente REFORMA AL REGLAMENTO PARA EL CONTROL DE LAS VENTAS A CRÉDITO Y DE LA EMISIÓN DE TARJETAS DE CIRCULACIÓN RESTRINGIDA, POR PARTE DE LAS COMPAÑÍAS SUJETAS A LA SUPERVISIÓN DE LA SUPERINTENDENCIA DE COMPAÑÍAS, VALORES Y SEGUROS.</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shd w:val="clear" w:color="auto" w:fill="FFFFFF"/>
          <w:lang w:eastAsia="es-ES"/>
        </w:rPr>
        <w:t>ARTÍCULO 1.- </w:t>
      </w:r>
      <w:r w:rsidRPr="004C4C63">
        <w:rPr>
          <w:rFonts w:ascii="Tahoma" w:eastAsia="Times New Roman" w:hAnsi="Tahoma" w:cs="Tahoma"/>
          <w:color w:val="000000"/>
          <w:sz w:val="14"/>
          <w:szCs w:val="14"/>
          <w:shd w:val="clear" w:color="auto" w:fill="FFFFFF"/>
          <w:lang w:eastAsia="es-ES"/>
        </w:rPr>
        <w:t>Agréguese el siguiente numeral al artículo 3:</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color w:val="000000"/>
          <w:sz w:val="14"/>
          <w:szCs w:val="14"/>
          <w:shd w:val="clear" w:color="auto" w:fill="FFFFFF"/>
          <w:lang w:eastAsia="es-ES"/>
        </w:rPr>
        <w:t>"7. Entrega del Estado del Crédito en el lugar que el cliente indique, siempre que este lo requiera por escrito."</w:t>
      </w:r>
    </w:p>
    <w:p w:rsidR="00431533" w:rsidRPr="004C4C63" w:rsidRDefault="005850DF" w:rsidP="00431533">
      <w:pPr>
        <w:spacing w:after="0" w:line="240" w:lineRule="auto"/>
        <w:jc w:val="both"/>
        <w:rPr>
          <w:rFonts w:ascii="Tahoma" w:eastAsia="Times New Roman" w:hAnsi="Tahoma" w:cs="Tahoma"/>
          <w:color w:val="000000"/>
          <w:sz w:val="14"/>
          <w:szCs w:val="14"/>
          <w:shd w:val="clear" w:color="auto" w:fill="FFFFFF"/>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shd w:val="clear" w:color="auto" w:fill="FFFFFF"/>
          <w:lang w:eastAsia="es-ES"/>
        </w:rPr>
        <w:t>ARTÍCULO 2.- </w:t>
      </w:r>
      <w:r w:rsidRPr="004C4C63">
        <w:rPr>
          <w:rFonts w:ascii="Tahoma" w:eastAsia="Times New Roman" w:hAnsi="Tahoma" w:cs="Tahoma"/>
          <w:color w:val="000000"/>
          <w:sz w:val="14"/>
          <w:szCs w:val="14"/>
          <w:shd w:val="clear" w:color="auto" w:fill="FFFFFF"/>
          <w:lang w:eastAsia="es-ES"/>
        </w:rPr>
        <w:t>La presente resolución entrará en vigor desde el 1 de enero de 2016, sin perjuicio de su publicación en el Registro Oficial.</w:t>
      </w:r>
    </w:p>
    <w:p w:rsidR="005850DF" w:rsidRPr="00634277" w:rsidRDefault="005850DF" w:rsidP="00431533">
      <w:pPr>
        <w:spacing w:after="0" w:line="240" w:lineRule="auto"/>
        <w:jc w:val="both"/>
        <w:rPr>
          <w:rFonts w:ascii="Tahoma" w:eastAsia="Times New Roman" w:hAnsi="Tahoma" w:cs="Tahoma"/>
          <w:sz w:val="16"/>
          <w:szCs w:val="16"/>
          <w:lang w:eastAsia="es-ES"/>
        </w:rPr>
      </w:pPr>
      <w:r w:rsidRPr="004C4C63">
        <w:rPr>
          <w:rFonts w:ascii="Tahoma" w:eastAsia="Times New Roman" w:hAnsi="Tahoma" w:cs="Tahoma"/>
          <w:color w:val="000000"/>
          <w:sz w:val="14"/>
          <w:szCs w:val="14"/>
          <w:lang w:eastAsia="es-ES"/>
        </w:rPr>
        <w:br/>
      </w:r>
      <w:r w:rsidRPr="00634277">
        <w:rPr>
          <w:rFonts w:ascii="Tahoma" w:eastAsia="Times New Roman" w:hAnsi="Tahoma" w:cs="Tahoma"/>
          <w:color w:val="000000"/>
          <w:sz w:val="16"/>
          <w:szCs w:val="16"/>
          <w:lang w:eastAsia="es-ES"/>
        </w:rPr>
        <w:br/>
      </w:r>
    </w:p>
    <w:p w:rsidR="005850DF" w:rsidRPr="00931822" w:rsidRDefault="00AD7D8C" w:rsidP="00931822">
      <w:pPr>
        <w:pStyle w:val="Prrafodelista"/>
        <w:numPr>
          <w:ilvl w:val="0"/>
          <w:numId w:val="13"/>
        </w:numPr>
        <w:shd w:val="clear" w:color="auto" w:fill="FFFFFF"/>
        <w:spacing w:after="0" w:line="240" w:lineRule="auto"/>
        <w:jc w:val="both"/>
        <w:rPr>
          <w:rFonts w:ascii="Tahoma" w:eastAsia="Times New Roman" w:hAnsi="Tahoma" w:cs="Tahoma"/>
          <w:color w:val="000000"/>
          <w:sz w:val="18"/>
          <w:szCs w:val="18"/>
          <w:lang w:eastAsia="es-ES"/>
        </w:rPr>
      </w:pPr>
      <w:r w:rsidRPr="00931822">
        <w:rPr>
          <w:rFonts w:ascii="Tahoma" w:eastAsia="Times New Roman" w:hAnsi="Tahoma" w:cs="Tahoma"/>
          <w:b/>
          <w:bCs/>
          <w:color w:val="0070C0"/>
          <w:sz w:val="18"/>
          <w:szCs w:val="18"/>
          <w:lang w:eastAsia="es-ES"/>
        </w:rPr>
        <w:t>Resolución SCVS-DSC.15-020:</w:t>
      </w:r>
      <w:r w:rsidRPr="00931822">
        <w:rPr>
          <w:rFonts w:ascii="Tahoma" w:eastAsia="Times New Roman" w:hAnsi="Tahoma" w:cs="Tahoma"/>
          <w:bCs/>
          <w:color w:val="0070C0"/>
          <w:sz w:val="18"/>
          <w:szCs w:val="18"/>
          <w:lang w:eastAsia="es-ES"/>
        </w:rPr>
        <w:t xml:space="preserve"> </w:t>
      </w:r>
      <w:r w:rsidRPr="00931822">
        <w:rPr>
          <w:rFonts w:ascii="Tahoma" w:eastAsia="Times New Roman" w:hAnsi="Tahoma" w:cs="Tahoma"/>
          <w:bCs/>
          <w:color w:val="000000"/>
          <w:sz w:val="18"/>
          <w:szCs w:val="18"/>
          <w:lang w:eastAsia="es-ES"/>
        </w:rPr>
        <w:t>Se aprueban</w:t>
      </w:r>
      <w:r w:rsidR="005850DF" w:rsidRPr="00931822">
        <w:rPr>
          <w:rFonts w:ascii="Tahoma" w:eastAsia="Times New Roman" w:hAnsi="Tahoma" w:cs="Tahoma"/>
          <w:bCs/>
          <w:color w:val="000000"/>
          <w:sz w:val="18"/>
          <w:szCs w:val="18"/>
          <w:lang w:eastAsia="es-ES"/>
        </w:rPr>
        <w:t xml:space="preserve"> las tarifas máximas que regirán para el período semestral de enero, febrero, marzo, abril, mayo y junio de 2016, dentro del cual las compañías nacionales y extranjeras que dentro del giro de sus negocios realicen ventas a crédito solo podrán efectuar cobros por la prestación efectiva de servicios</w:t>
      </w:r>
    </w:p>
    <w:p w:rsidR="004C4C63" w:rsidRDefault="005850DF" w:rsidP="00634277">
      <w:pPr>
        <w:shd w:val="clear" w:color="auto" w:fill="FFFFFF"/>
        <w:spacing w:after="0" w:line="240" w:lineRule="auto"/>
        <w:jc w:val="center"/>
        <w:rPr>
          <w:rFonts w:ascii="Tahoma" w:eastAsia="Times New Roman" w:hAnsi="Tahoma" w:cs="Tahoma"/>
          <w:b/>
          <w:bCs/>
          <w:color w:val="000000"/>
          <w:sz w:val="14"/>
          <w:szCs w:val="14"/>
          <w:lang w:eastAsia="es-ES"/>
        </w:rPr>
        <w:sectPr w:rsidR="004C4C63" w:rsidSect="00A76978">
          <w:type w:val="continuous"/>
          <w:pgSz w:w="11906" w:h="16838"/>
          <w:pgMar w:top="1175" w:right="849" w:bottom="1276" w:left="1276" w:header="709" w:footer="708" w:gutter="0"/>
          <w:cols w:space="708"/>
          <w:docGrid w:linePitch="360"/>
        </w:sectPr>
      </w:pPr>
      <w:r w:rsidRPr="00634277">
        <w:rPr>
          <w:rFonts w:ascii="Tahoma" w:eastAsia="Times New Roman" w:hAnsi="Tahoma" w:cs="Tahoma"/>
          <w:color w:val="000000"/>
          <w:sz w:val="20"/>
          <w:szCs w:val="20"/>
          <w:lang w:eastAsia="es-ES"/>
        </w:rPr>
        <w:br/>
      </w:r>
    </w:p>
    <w:p w:rsidR="005850DF" w:rsidRPr="004C4C63" w:rsidRDefault="005850DF" w:rsidP="00634277">
      <w:pPr>
        <w:shd w:val="clear" w:color="auto" w:fill="FFFFFF"/>
        <w:spacing w:after="0" w:line="240" w:lineRule="auto"/>
        <w:jc w:val="center"/>
        <w:rPr>
          <w:rFonts w:ascii="Tahoma" w:eastAsia="Times New Roman" w:hAnsi="Tahoma" w:cs="Tahoma"/>
          <w:color w:val="000000"/>
          <w:sz w:val="14"/>
          <w:szCs w:val="14"/>
          <w:lang w:eastAsia="es-ES"/>
        </w:rPr>
      </w:pPr>
      <w:r w:rsidRPr="004C4C63">
        <w:rPr>
          <w:rFonts w:ascii="Tahoma" w:eastAsia="Times New Roman" w:hAnsi="Tahoma" w:cs="Tahoma"/>
          <w:b/>
          <w:bCs/>
          <w:color w:val="000000"/>
          <w:sz w:val="14"/>
          <w:szCs w:val="14"/>
          <w:lang w:eastAsia="es-ES"/>
        </w:rPr>
        <w:lastRenderedPageBreak/>
        <w:t>Resuelve: </w:t>
      </w:r>
    </w:p>
    <w:p w:rsidR="005850DF" w:rsidRPr="004C4C63" w:rsidRDefault="005850DF" w:rsidP="00931822">
      <w:pPr>
        <w:spacing w:after="0" w:line="240" w:lineRule="auto"/>
        <w:jc w:val="both"/>
        <w:rPr>
          <w:rFonts w:ascii="Tahoma" w:eastAsia="Times New Roman" w:hAnsi="Tahoma" w:cs="Tahoma"/>
          <w:sz w:val="14"/>
          <w:szCs w:val="14"/>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shd w:val="clear" w:color="auto" w:fill="FFFFFF"/>
          <w:lang w:eastAsia="es-ES"/>
        </w:rPr>
        <w:t>ARTÍCULO 1.- </w:t>
      </w:r>
      <w:r w:rsidRPr="004C4C63">
        <w:rPr>
          <w:rFonts w:ascii="Tahoma" w:eastAsia="Times New Roman" w:hAnsi="Tahoma" w:cs="Tahoma"/>
          <w:color w:val="000000"/>
          <w:sz w:val="14"/>
          <w:szCs w:val="14"/>
          <w:shd w:val="clear" w:color="auto" w:fill="FFFFFF"/>
          <w:lang w:eastAsia="es-ES"/>
        </w:rPr>
        <w:t>Aprobar las tarifas máximas que regirán para el período semestral que comprende los meses de enero, febrero, marzo, abril, mayo y junio de 2016, dentro del cual las compañías nacionales y extranjeras con actividades en el Ecuador, sujetas al control y vigilancia de la Superintendencia de Compañías, Valores y Seguros, que dentro del giro ordinario de sus negocios realicen ventas a crédito sólo podrán efectuar cobros por la prestación efectiva de servicios, conforme a lo dispuesto en el siguiente cuadro:</w:t>
      </w:r>
    </w:p>
    <w:p w:rsidR="005850DF" w:rsidRPr="004C4C63" w:rsidRDefault="005850DF" w:rsidP="00634277">
      <w:pPr>
        <w:shd w:val="clear" w:color="auto" w:fill="FFFFFF"/>
        <w:spacing w:after="0" w:line="240" w:lineRule="auto"/>
        <w:rPr>
          <w:rFonts w:ascii="Tahoma" w:eastAsia="Times New Roman" w:hAnsi="Tahoma" w:cs="Tahoma"/>
          <w:color w:val="000000"/>
          <w:sz w:val="14"/>
          <w:szCs w:val="14"/>
          <w:lang w:eastAsia="es-ES"/>
        </w:rPr>
      </w:pPr>
    </w:p>
    <w:tbl>
      <w:tblPr>
        <w:tblW w:w="0" w:type="auto"/>
        <w:tblInd w:w="292"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29"/>
        <w:gridCol w:w="1997"/>
        <w:gridCol w:w="2134"/>
      </w:tblGrid>
      <w:tr w:rsidR="005850DF" w:rsidRPr="00931822" w:rsidTr="00931822">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 </w:t>
            </w:r>
          </w:p>
        </w:tc>
        <w:tc>
          <w:tcPr>
            <w:tcW w:w="1997"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0" w:type="dxa"/>
              <w:left w:w="0" w:type="dxa"/>
              <w:bottom w:w="0" w:type="dxa"/>
              <w:right w:w="0" w:type="dxa"/>
            </w:tcMar>
            <w:vAlign w:val="center"/>
            <w:hideMark/>
          </w:tcPr>
          <w:p w:rsidR="005850DF" w:rsidRPr="00931822" w:rsidRDefault="005850DF" w:rsidP="00634277">
            <w:pPr>
              <w:spacing w:after="0" w:line="240" w:lineRule="auto"/>
              <w:jc w:val="center"/>
              <w:rPr>
                <w:rFonts w:ascii="Tahoma" w:eastAsia="Times New Roman" w:hAnsi="Tahoma" w:cs="Tahoma"/>
                <w:b/>
                <w:color w:val="000000"/>
                <w:sz w:val="10"/>
                <w:szCs w:val="10"/>
                <w:lang w:eastAsia="es-ES"/>
              </w:rPr>
            </w:pPr>
            <w:r w:rsidRPr="00931822">
              <w:rPr>
                <w:rFonts w:ascii="Tahoma" w:eastAsia="Times New Roman" w:hAnsi="Tahoma" w:cs="Tahoma"/>
                <w:b/>
                <w:color w:val="000000"/>
                <w:sz w:val="10"/>
                <w:szCs w:val="10"/>
                <w:lang w:eastAsia="es-ES"/>
              </w:rPr>
              <w:t>SERVICIO </w:t>
            </w:r>
          </w:p>
        </w:tc>
        <w:tc>
          <w:tcPr>
            <w:tcW w:w="2134"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0" w:type="dxa"/>
              <w:left w:w="0" w:type="dxa"/>
              <w:bottom w:w="0" w:type="dxa"/>
              <w:right w:w="0" w:type="dxa"/>
            </w:tcMar>
            <w:vAlign w:val="center"/>
            <w:hideMark/>
          </w:tcPr>
          <w:p w:rsidR="005850DF" w:rsidRPr="00931822" w:rsidRDefault="005850DF" w:rsidP="00634277">
            <w:pPr>
              <w:spacing w:after="0" w:line="240" w:lineRule="auto"/>
              <w:jc w:val="center"/>
              <w:rPr>
                <w:rFonts w:ascii="Tahoma" w:eastAsia="Times New Roman" w:hAnsi="Tahoma" w:cs="Tahoma"/>
                <w:b/>
                <w:color w:val="000000"/>
                <w:sz w:val="10"/>
                <w:szCs w:val="10"/>
                <w:lang w:eastAsia="es-ES"/>
              </w:rPr>
            </w:pPr>
            <w:r w:rsidRPr="00931822">
              <w:rPr>
                <w:rFonts w:ascii="Tahoma" w:eastAsia="Times New Roman" w:hAnsi="Tahoma" w:cs="Tahoma"/>
                <w:b/>
                <w:color w:val="000000"/>
                <w:sz w:val="10"/>
                <w:szCs w:val="10"/>
                <w:lang w:eastAsia="es-ES"/>
              </w:rPr>
              <w:t>COSTO MÁXIMO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1 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CORTE IMPRESO DEL ESTADO DEL CRÉDITO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USD$ 1,00 POR PÁGINA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2 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INTERÉS DE FINANCIAMIENTO 0 INTERÉS DE MORA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TASA MÁXIMA FIJADA POR LA JUNTA DE POLÍTICA Y REGULACIÓN MONETARIA Y FINANCIERA PARA EL SEGMENTO DE CONSUMO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3 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COSTO POR COPIA DE RECIBO DE PAGO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USD $0,10 POR PÁGINA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4 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CERTIFICADO POR ESCRITO DE CRÉDITO AL DÍA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USD $0,63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5 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REFERENCIAS COMERCIALES COMO DEUDOR 0 TARJETAHABIENTE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USD $ 1,00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6 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CHEQUES DEVUELTOS Y PROTESTADOS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COSTO FIJADO POR LA INSTITUCIÓN BANCARIA A LA RESPECTIVA COMPAÑÍA </w:t>
            </w:r>
          </w:p>
        </w:tc>
      </w:tr>
      <w:tr w:rsidR="005850DF" w:rsidRPr="00931822" w:rsidTr="004C4C63">
        <w:tc>
          <w:tcPr>
            <w:tcW w:w="12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7 </w:t>
            </w:r>
          </w:p>
        </w:tc>
        <w:tc>
          <w:tcPr>
            <w:tcW w:w="1997"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ENTREGA DEL ESTADO DEL CRÉDITO EN EL LUGAR QUE EL CLIENTE INDIQUE, SIEMPRE QUE ESTE LO REQUIERA POR ESCRITO </w:t>
            </w:r>
          </w:p>
        </w:tc>
        <w:tc>
          <w:tcPr>
            <w:tcW w:w="213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931822" w:rsidRDefault="005850DF" w:rsidP="00634277">
            <w:pPr>
              <w:spacing w:after="0" w:line="240" w:lineRule="auto"/>
              <w:rPr>
                <w:rFonts w:ascii="Tahoma" w:eastAsia="Times New Roman" w:hAnsi="Tahoma" w:cs="Tahoma"/>
                <w:color w:val="000000"/>
                <w:sz w:val="10"/>
                <w:szCs w:val="10"/>
                <w:lang w:eastAsia="es-ES"/>
              </w:rPr>
            </w:pPr>
            <w:r w:rsidRPr="00931822">
              <w:rPr>
                <w:rFonts w:ascii="Tahoma" w:eastAsia="Times New Roman" w:hAnsi="Tahoma" w:cs="Tahoma"/>
                <w:color w:val="000000"/>
                <w:sz w:val="10"/>
                <w:szCs w:val="10"/>
                <w:lang w:eastAsia="es-ES"/>
              </w:rPr>
              <w:t>USD $1,66 </w:t>
            </w:r>
          </w:p>
        </w:tc>
      </w:tr>
    </w:tbl>
    <w:p w:rsidR="005850DF" w:rsidRPr="004C4C63" w:rsidRDefault="005850DF" w:rsidP="00634277">
      <w:pPr>
        <w:spacing w:after="0" w:line="240" w:lineRule="auto"/>
        <w:rPr>
          <w:rFonts w:ascii="Tahoma" w:eastAsia="Times New Roman" w:hAnsi="Tahoma" w:cs="Tahoma"/>
          <w:sz w:val="14"/>
          <w:szCs w:val="14"/>
          <w:lang w:eastAsia="es-ES"/>
        </w:rPr>
      </w:pPr>
    </w:p>
    <w:p w:rsidR="005850DF" w:rsidRPr="004C4C63" w:rsidRDefault="005850DF" w:rsidP="00634277">
      <w:pPr>
        <w:shd w:val="clear" w:color="auto" w:fill="FFFFFF"/>
        <w:spacing w:after="0" w:line="240" w:lineRule="auto"/>
        <w:rPr>
          <w:rFonts w:ascii="Tahoma" w:eastAsia="Times New Roman" w:hAnsi="Tahoma" w:cs="Tahoma"/>
          <w:color w:val="000000"/>
          <w:sz w:val="14"/>
          <w:szCs w:val="14"/>
          <w:lang w:eastAsia="es-ES"/>
        </w:rPr>
      </w:pPr>
      <w:r w:rsidRPr="004C4C63">
        <w:rPr>
          <w:rFonts w:ascii="Tahoma" w:eastAsia="Times New Roman" w:hAnsi="Tahoma" w:cs="Tahoma"/>
          <w:b/>
          <w:bCs/>
          <w:color w:val="000000"/>
          <w:sz w:val="14"/>
          <w:szCs w:val="14"/>
          <w:lang w:eastAsia="es-ES"/>
        </w:rPr>
        <w:t>Artículo 2.- </w:t>
      </w:r>
      <w:r w:rsidRPr="004C4C63">
        <w:rPr>
          <w:rFonts w:ascii="Tahoma" w:eastAsia="Times New Roman" w:hAnsi="Tahoma" w:cs="Tahoma"/>
          <w:color w:val="000000"/>
          <w:sz w:val="14"/>
          <w:szCs w:val="14"/>
          <w:lang w:eastAsia="es-ES"/>
        </w:rPr>
        <w:t>Aprobar los valores máximos que, previa aceptación de sus clientes, las compañías que realicen ventas a crédito podrán cobrar como recargo de cobranza por pago tardío de cuotas, durante los meses de enero, febrero, marzo, abril, mayo y junio de 2016, de conformidad con la siguiente tabla:</w:t>
      </w:r>
    </w:p>
    <w:p w:rsidR="005850DF" w:rsidRPr="004C4C63" w:rsidRDefault="005850DF" w:rsidP="00634277">
      <w:pPr>
        <w:shd w:val="clear" w:color="auto" w:fill="FFFFFF"/>
        <w:spacing w:after="0" w:line="240" w:lineRule="auto"/>
        <w:rPr>
          <w:rFonts w:ascii="Tahoma" w:eastAsia="Times New Roman" w:hAnsi="Tahoma" w:cs="Tahoma"/>
          <w:color w:val="000000"/>
          <w:sz w:val="14"/>
          <w:szCs w:val="14"/>
          <w:lang w:eastAsia="es-ES"/>
        </w:rPr>
      </w:pPr>
    </w:p>
    <w:tbl>
      <w:tblPr>
        <w:tblW w:w="0" w:type="auto"/>
        <w:jc w:val="center"/>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1646"/>
        <w:gridCol w:w="2431"/>
      </w:tblGrid>
      <w:tr w:rsidR="005850DF" w:rsidRPr="004C4C63" w:rsidTr="00931822">
        <w:trPr>
          <w:jc w:val="center"/>
        </w:trPr>
        <w:tc>
          <w:tcPr>
            <w:tcW w:w="1646"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b/>
                <w:color w:val="000000"/>
                <w:sz w:val="12"/>
                <w:szCs w:val="12"/>
                <w:lang w:eastAsia="es-ES"/>
              </w:rPr>
            </w:pPr>
            <w:r w:rsidRPr="004C4C63">
              <w:rPr>
                <w:rFonts w:ascii="Tahoma" w:eastAsia="Times New Roman" w:hAnsi="Tahoma" w:cs="Tahoma"/>
                <w:b/>
                <w:color w:val="000000"/>
                <w:sz w:val="12"/>
                <w:szCs w:val="12"/>
                <w:lang w:eastAsia="es-ES"/>
              </w:rPr>
              <w:lastRenderedPageBreak/>
              <w:t>RANGO DE VALOR DE LA CUOTA </w:t>
            </w:r>
          </w:p>
        </w:tc>
        <w:tc>
          <w:tcPr>
            <w:tcW w:w="2431" w:type="dxa"/>
            <w:tcBorders>
              <w:top w:val="outset" w:sz="6" w:space="0" w:color="auto"/>
              <w:left w:val="outset" w:sz="6" w:space="0" w:color="auto"/>
              <w:bottom w:val="outset" w:sz="6" w:space="0" w:color="auto"/>
              <w:right w:val="outset" w:sz="6" w:space="0" w:color="auto"/>
            </w:tcBorders>
            <w:shd w:val="clear" w:color="auto" w:fill="FDE9D9" w:themeFill="accent6" w:themeFillTint="33"/>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b/>
                <w:color w:val="000000"/>
                <w:sz w:val="12"/>
                <w:szCs w:val="12"/>
                <w:lang w:eastAsia="es-ES"/>
              </w:rPr>
            </w:pPr>
            <w:r w:rsidRPr="004C4C63">
              <w:rPr>
                <w:rFonts w:ascii="Tahoma" w:eastAsia="Times New Roman" w:hAnsi="Tahoma" w:cs="Tahoma"/>
                <w:b/>
                <w:color w:val="000000"/>
                <w:sz w:val="12"/>
                <w:szCs w:val="12"/>
                <w:lang w:eastAsia="es-ES"/>
              </w:rPr>
              <w:t>RECARGO DE COBRANZA POR PAGO TARDÍO DE LA CUOTA </w:t>
            </w:r>
          </w:p>
        </w:tc>
      </w:tr>
      <w:tr w:rsidR="005850DF" w:rsidRPr="004C4C63" w:rsidTr="00431533">
        <w:trPr>
          <w:jc w:val="center"/>
        </w:trPr>
        <w:tc>
          <w:tcPr>
            <w:tcW w:w="164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$ 19,99 o menor </w:t>
            </w:r>
          </w:p>
        </w:tc>
        <w:tc>
          <w:tcPr>
            <w:tcW w:w="24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$ 3,00 </w:t>
            </w:r>
          </w:p>
        </w:tc>
      </w:tr>
      <w:tr w:rsidR="005850DF" w:rsidRPr="004C4C63" w:rsidTr="00431533">
        <w:trPr>
          <w:jc w:val="center"/>
        </w:trPr>
        <w:tc>
          <w:tcPr>
            <w:tcW w:w="164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$ 20 hasta USD $ 39,99 </w:t>
            </w:r>
          </w:p>
        </w:tc>
        <w:tc>
          <w:tcPr>
            <w:tcW w:w="24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$ 5,00 </w:t>
            </w:r>
          </w:p>
        </w:tc>
      </w:tr>
      <w:tr w:rsidR="005850DF" w:rsidRPr="004C4C63" w:rsidTr="00431533">
        <w:trPr>
          <w:jc w:val="center"/>
        </w:trPr>
        <w:tc>
          <w:tcPr>
            <w:tcW w:w="164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$ 40 hasta USD $ 59,99 </w:t>
            </w:r>
          </w:p>
        </w:tc>
        <w:tc>
          <w:tcPr>
            <w:tcW w:w="24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$ 9,00 </w:t>
            </w:r>
          </w:p>
        </w:tc>
      </w:tr>
      <w:tr w:rsidR="005850DF" w:rsidRPr="004C4C63" w:rsidTr="00431533">
        <w:trPr>
          <w:jc w:val="center"/>
        </w:trPr>
        <w:tc>
          <w:tcPr>
            <w:tcW w:w="164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$ 60 a USD $ 79,99 </w:t>
            </w:r>
          </w:p>
        </w:tc>
        <w:tc>
          <w:tcPr>
            <w:tcW w:w="24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$ 12,00 </w:t>
            </w:r>
          </w:p>
        </w:tc>
      </w:tr>
      <w:tr w:rsidR="005850DF" w:rsidRPr="004C4C63" w:rsidTr="00431533">
        <w:trPr>
          <w:jc w:val="center"/>
        </w:trPr>
        <w:tc>
          <w:tcPr>
            <w:tcW w:w="164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$ 80 a USD $ 100 </w:t>
            </w:r>
          </w:p>
        </w:tc>
        <w:tc>
          <w:tcPr>
            <w:tcW w:w="24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USD$ 15,00 </w:t>
            </w:r>
          </w:p>
        </w:tc>
      </w:tr>
      <w:tr w:rsidR="005850DF" w:rsidRPr="004C4C63" w:rsidTr="00431533">
        <w:trPr>
          <w:jc w:val="center"/>
        </w:trPr>
        <w:tc>
          <w:tcPr>
            <w:tcW w:w="164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Mayor a USD $ 100 </w:t>
            </w:r>
          </w:p>
        </w:tc>
        <w:tc>
          <w:tcPr>
            <w:tcW w:w="2431"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5850DF" w:rsidRPr="004C4C63" w:rsidRDefault="005850DF" w:rsidP="00634277">
            <w:pPr>
              <w:spacing w:after="0" w:line="240" w:lineRule="auto"/>
              <w:jc w:val="center"/>
              <w:rPr>
                <w:rFonts w:ascii="Tahoma" w:eastAsia="Times New Roman" w:hAnsi="Tahoma" w:cs="Tahoma"/>
                <w:color w:val="000000"/>
                <w:sz w:val="12"/>
                <w:szCs w:val="12"/>
                <w:lang w:eastAsia="es-ES"/>
              </w:rPr>
            </w:pPr>
            <w:r w:rsidRPr="004C4C63">
              <w:rPr>
                <w:rFonts w:ascii="Tahoma" w:eastAsia="Times New Roman" w:hAnsi="Tahoma" w:cs="Tahoma"/>
                <w:color w:val="000000"/>
                <w:sz w:val="12"/>
                <w:szCs w:val="12"/>
                <w:lang w:eastAsia="es-ES"/>
              </w:rPr>
              <w:t>USD $ 18,00 </w:t>
            </w:r>
          </w:p>
        </w:tc>
      </w:tr>
    </w:tbl>
    <w:p w:rsidR="005850DF" w:rsidRPr="004C4C63" w:rsidRDefault="005850DF" w:rsidP="00634277">
      <w:pPr>
        <w:spacing w:after="0" w:line="240" w:lineRule="auto"/>
        <w:rPr>
          <w:rFonts w:ascii="Tahoma" w:eastAsia="Times New Roman" w:hAnsi="Tahoma" w:cs="Tahoma"/>
          <w:sz w:val="14"/>
          <w:szCs w:val="14"/>
          <w:lang w:eastAsia="es-ES"/>
        </w:rPr>
      </w:pPr>
    </w:p>
    <w:p w:rsidR="00431533" w:rsidRPr="004C4C63" w:rsidRDefault="005850DF" w:rsidP="00431533">
      <w:pPr>
        <w:shd w:val="clear" w:color="auto" w:fill="FFFFFF"/>
        <w:spacing w:after="0" w:line="240" w:lineRule="auto"/>
        <w:jc w:val="both"/>
        <w:rPr>
          <w:rFonts w:ascii="Tahoma" w:eastAsia="Times New Roman" w:hAnsi="Tahoma" w:cs="Tahoma"/>
          <w:color w:val="000000"/>
          <w:sz w:val="14"/>
          <w:szCs w:val="14"/>
          <w:lang w:eastAsia="es-ES"/>
        </w:rPr>
      </w:pPr>
      <w:r w:rsidRPr="004C4C63">
        <w:rPr>
          <w:rFonts w:ascii="Tahoma" w:eastAsia="Times New Roman" w:hAnsi="Tahoma" w:cs="Tahoma"/>
          <w:color w:val="000000"/>
          <w:sz w:val="14"/>
          <w:szCs w:val="14"/>
          <w:lang w:eastAsia="es-ES"/>
        </w:rPr>
        <w:t>Los valores máximos aquí establecidos podrán cobrarse una sola vez por cada cuota vencida, sin importar el número de días o meses de atraso.</w:t>
      </w:r>
    </w:p>
    <w:p w:rsidR="00431533" w:rsidRPr="004C4C63" w:rsidRDefault="005850DF" w:rsidP="00431533">
      <w:pPr>
        <w:shd w:val="clear" w:color="auto" w:fill="FFFFFF"/>
        <w:spacing w:after="0" w:line="240" w:lineRule="auto"/>
        <w:jc w:val="both"/>
        <w:rPr>
          <w:rFonts w:ascii="Tahoma" w:eastAsia="Times New Roman" w:hAnsi="Tahoma" w:cs="Tahoma"/>
          <w:color w:val="000000"/>
          <w:sz w:val="14"/>
          <w:szCs w:val="14"/>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lang w:eastAsia="es-ES"/>
        </w:rPr>
        <w:t>ARTÍCULO 3.- </w:t>
      </w:r>
      <w:r w:rsidRPr="004C4C63">
        <w:rPr>
          <w:rFonts w:ascii="Tahoma" w:eastAsia="Times New Roman" w:hAnsi="Tahoma" w:cs="Tahoma"/>
          <w:color w:val="000000"/>
          <w:sz w:val="14"/>
          <w:szCs w:val="14"/>
          <w:lang w:eastAsia="es-ES"/>
        </w:rPr>
        <w:t>La Superintendencia de Compañías, Valores y Seguros vigilará y controlará la observancia de las tarifas y valores máximos establecidos en esta resolución, de conformidad con lo dispuesto en el REGLAMENTO PARA EL CONTROL DE LAS VENTAS A CRÉDITO Y DE LA EMISIÓN DE TARJETAS DE CIRCULACIÓN RESTRINGIDA, POR PARTE DE LAS COMPAÑÍAS SUJETAS A LA SUPERVISIÓN DE LA SUPERINTENDENCIA DE COMPAÑÍAS, VALORES Y SEGUROS.</w:t>
      </w:r>
    </w:p>
    <w:p w:rsidR="00431533" w:rsidRPr="004C4C63" w:rsidRDefault="005850DF" w:rsidP="00431533">
      <w:pPr>
        <w:shd w:val="clear" w:color="auto" w:fill="FFFFFF"/>
        <w:spacing w:after="0" w:line="240" w:lineRule="auto"/>
        <w:jc w:val="both"/>
        <w:rPr>
          <w:rFonts w:ascii="Tahoma" w:eastAsia="Times New Roman" w:hAnsi="Tahoma" w:cs="Tahoma"/>
          <w:color w:val="000000"/>
          <w:sz w:val="14"/>
          <w:szCs w:val="14"/>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lang w:eastAsia="es-ES"/>
        </w:rPr>
        <w:t>ARTÍCULO 4.- </w:t>
      </w:r>
      <w:r w:rsidRPr="004C4C63">
        <w:rPr>
          <w:rFonts w:ascii="Tahoma" w:eastAsia="Times New Roman" w:hAnsi="Tahoma" w:cs="Tahoma"/>
          <w:color w:val="000000"/>
          <w:sz w:val="14"/>
          <w:szCs w:val="14"/>
          <w:lang w:eastAsia="es-ES"/>
        </w:rPr>
        <w:t>La Superintendencia de Compañías, Valores y Seguros podrá modificar, en cualquier tiempo, las tarifas y valores determinados en la presente resolución, cuando ello fuere necesario para precautelar el interés público.</w:t>
      </w:r>
    </w:p>
    <w:p w:rsidR="00431533" w:rsidRPr="004C4C63" w:rsidRDefault="005850DF" w:rsidP="00431533">
      <w:pPr>
        <w:shd w:val="clear" w:color="auto" w:fill="FFFFFF"/>
        <w:spacing w:after="0" w:line="240" w:lineRule="auto"/>
        <w:jc w:val="both"/>
        <w:rPr>
          <w:rFonts w:ascii="Tahoma" w:eastAsia="Times New Roman" w:hAnsi="Tahoma" w:cs="Tahoma"/>
          <w:color w:val="000000"/>
          <w:sz w:val="14"/>
          <w:szCs w:val="14"/>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lang w:eastAsia="es-ES"/>
        </w:rPr>
        <w:t>ARTÍCULO 5.- </w:t>
      </w:r>
      <w:r w:rsidRPr="004C4C63">
        <w:rPr>
          <w:rFonts w:ascii="Tahoma" w:eastAsia="Times New Roman" w:hAnsi="Tahoma" w:cs="Tahoma"/>
          <w:color w:val="000000"/>
          <w:sz w:val="14"/>
          <w:szCs w:val="14"/>
          <w:lang w:eastAsia="es-ES"/>
        </w:rPr>
        <w:t>La presente resolución entrará en vigor desde el 1 de enero de 2016, sin perjuicio de su publicación en el Registro Oficial y regirá hasta el último día del mes de junio del año 2016, inclusive.</w:t>
      </w:r>
    </w:p>
    <w:p w:rsidR="00431533" w:rsidRPr="004C4C63" w:rsidRDefault="005850DF" w:rsidP="00431533">
      <w:pPr>
        <w:shd w:val="clear" w:color="auto" w:fill="FFFFFF"/>
        <w:spacing w:after="0" w:line="240" w:lineRule="auto"/>
        <w:jc w:val="both"/>
        <w:rPr>
          <w:rFonts w:ascii="Tahoma" w:eastAsia="Times New Roman" w:hAnsi="Tahoma" w:cs="Tahoma"/>
          <w:color w:val="000000"/>
          <w:sz w:val="14"/>
          <w:szCs w:val="14"/>
          <w:lang w:eastAsia="es-ES"/>
        </w:rPr>
      </w:pPr>
      <w:r w:rsidRPr="004C4C63">
        <w:rPr>
          <w:rFonts w:ascii="Tahoma" w:eastAsia="Times New Roman" w:hAnsi="Tahoma" w:cs="Tahoma"/>
          <w:color w:val="000000"/>
          <w:sz w:val="14"/>
          <w:szCs w:val="14"/>
          <w:lang w:eastAsia="es-ES"/>
        </w:rPr>
        <w:br/>
      </w:r>
      <w:r w:rsidRPr="004C4C63">
        <w:rPr>
          <w:rFonts w:ascii="Tahoma" w:eastAsia="Times New Roman" w:hAnsi="Tahoma" w:cs="Tahoma"/>
          <w:b/>
          <w:bCs/>
          <w:color w:val="000000"/>
          <w:sz w:val="14"/>
          <w:szCs w:val="14"/>
          <w:lang w:eastAsia="es-ES"/>
        </w:rPr>
        <w:t>COMUNÍQUESE Y PUBLÍQUESE.- </w:t>
      </w:r>
      <w:r w:rsidRPr="004C4C63">
        <w:rPr>
          <w:rFonts w:ascii="Tahoma" w:eastAsia="Times New Roman" w:hAnsi="Tahoma" w:cs="Tahoma"/>
          <w:color w:val="000000"/>
          <w:sz w:val="14"/>
          <w:szCs w:val="14"/>
          <w:lang w:eastAsia="es-ES"/>
        </w:rPr>
        <w:t>Dada y firmada en la Oficina Matriz de la Superintendencia de Compañías, Valores y Seguros, en Guayaquil, a 31 de diciembre de 2015.</w:t>
      </w:r>
    </w:p>
    <w:p w:rsidR="004C4C63" w:rsidRDefault="004C4C63" w:rsidP="00431533">
      <w:pPr>
        <w:shd w:val="clear" w:color="auto" w:fill="FFFFFF"/>
        <w:spacing w:after="0" w:line="240" w:lineRule="auto"/>
        <w:jc w:val="both"/>
        <w:rPr>
          <w:rFonts w:ascii="Tahoma" w:eastAsia="Times New Roman" w:hAnsi="Tahoma" w:cs="Tahoma"/>
          <w:color w:val="000000"/>
          <w:sz w:val="16"/>
          <w:szCs w:val="16"/>
          <w:lang w:eastAsia="es-ES"/>
        </w:rPr>
        <w:sectPr w:rsidR="004C4C63" w:rsidSect="004C4C63">
          <w:type w:val="continuous"/>
          <w:pgSz w:w="11906" w:h="16838"/>
          <w:pgMar w:top="1175" w:right="849" w:bottom="1276" w:left="1276" w:header="709" w:footer="708" w:gutter="0"/>
          <w:cols w:num="2" w:space="708"/>
          <w:docGrid w:linePitch="360"/>
        </w:sectPr>
      </w:pPr>
    </w:p>
    <w:p w:rsidR="005850DF" w:rsidRDefault="005850DF" w:rsidP="00431533">
      <w:pPr>
        <w:shd w:val="clear" w:color="auto" w:fill="FFFFFF"/>
        <w:spacing w:after="0" w:line="240" w:lineRule="auto"/>
        <w:jc w:val="both"/>
        <w:rPr>
          <w:rFonts w:ascii="Tahoma" w:hAnsi="Tahoma" w:cs="Tahoma"/>
          <w:sz w:val="16"/>
          <w:szCs w:val="16"/>
        </w:rPr>
      </w:pPr>
      <w:r w:rsidRPr="00634277">
        <w:rPr>
          <w:rFonts w:ascii="Tahoma" w:eastAsia="Times New Roman" w:hAnsi="Tahoma" w:cs="Tahoma"/>
          <w:color w:val="000000"/>
          <w:sz w:val="16"/>
          <w:szCs w:val="16"/>
          <w:lang w:eastAsia="es-ES"/>
        </w:rPr>
        <w:lastRenderedPageBreak/>
        <w:br/>
      </w:r>
    </w:p>
    <w:p w:rsidR="0098393D" w:rsidRDefault="0098393D" w:rsidP="00431533">
      <w:pPr>
        <w:shd w:val="clear" w:color="auto" w:fill="FFFFFF"/>
        <w:spacing w:after="0" w:line="240" w:lineRule="auto"/>
        <w:jc w:val="both"/>
        <w:rPr>
          <w:rFonts w:ascii="Tahoma" w:hAnsi="Tahoma" w:cs="Tahoma"/>
          <w:sz w:val="16"/>
          <w:szCs w:val="16"/>
        </w:rPr>
      </w:pPr>
    </w:p>
    <w:p w:rsidR="0098393D" w:rsidRDefault="0098393D" w:rsidP="00431533">
      <w:pPr>
        <w:shd w:val="clear" w:color="auto" w:fill="FFFFFF"/>
        <w:spacing w:after="0" w:line="240" w:lineRule="auto"/>
        <w:jc w:val="both"/>
        <w:rPr>
          <w:rFonts w:ascii="Tahoma" w:hAnsi="Tahoma" w:cs="Tahoma"/>
          <w:sz w:val="16"/>
          <w:szCs w:val="16"/>
        </w:rPr>
      </w:pPr>
    </w:p>
    <w:p w:rsidR="0098393D" w:rsidRDefault="0098393D" w:rsidP="00431533">
      <w:pPr>
        <w:shd w:val="clear" w:color="auto" w:fill="FFFFFF"/>
        <w:spacing w:after="0" w:line="240" w:lineRule="auto"/>
        <w:jc w:val="both"/>
        <w:rPr>
          <w:rFonts w:ascii="Tahoma" w:hAnsi="Tahoma" w:cs="Tahoma"/>
          <w:sz w:val="16"/>
          <w:szCs w:val="16"/>
        </w:rPr>
      </w:pPr>
    </w:p>
    <w:p w:rsidR="004C4C63" w:rsidRDefault="004C4C63" w:rsidP="004C4C63">
      <w:pPr>
        <w:spacing w:after="0" w:line="240" w:lineRule="auto"/>
        <w:rPr>
          <w:rFonts w:ascii="Tahoma" w:eastAsia="Times New Roman" w:hAnsi="Tahoma" w:cs="Tahoma"/>
          <w:b/>
          <w:bCs/>
          <w:color w:val="000000"/>
          <w:sz w:val="14"/>
          <w:szCs w:val="14"/>
          <w:lang w:eastAsia="es-ES"/>
        </w:rPr>
      </w:pPr>
    </w:p>
    <w:p w:rsidR="004C4C63" w:rsidRDefault="004C4C63" w:rsidP="004C4C63">
      <w:pPr>
        <w:spacing w:after="0" w:line="240" w:lineRule="auto"/>
        <w:rPr>
          <w:rFonts w:ascii="Tahoma" w:eastAsia="Times New Roman" w:hAnsi="Tahoma" w:cs="Tahoma"/>
          <w:b/>
          <w:bCs/>
          <w:color w:val="000000"/>
          <w:sz w:val="14"/>
          <w:szCs w:val="14"/>
          <w:lang w:eastAsia="es-ES"/>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71552" behindDoc="1" locked="0" layoutInCell="1" allowOverlap="1" wp14:anchorId="22E631A3" wp14:editId="740B0E6E">
                <wp:simplePos x="0" y="0"/>
                <wp:positionH relativeFrom="column">
                  <wp:posOffset>-1078561</wp:posOffset>
                </wp:positionH>
                <wp:positionV relativeFrom="paragraph">
                  <wp:posOffset>72390</wp:posOffset>
                </wp:positionV>
                <wp:extent cx="7258050" cy="254000"/>
                <wp:effectExtent l="57150" t="19050" r="38100" b="88900"/>
                <wp:wrapNone/>
                <wp:docPr id="29" name="Rounded Rectangle 29"/>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29" o:spid="_x0000_s1026" style="position:absolute;margin-left:-84.95pt;margin-top:5.7pt;width:571.5pt;height:20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4C4C63" w:rsidRPr="004C4C63" w:rsidRDefault="004C4C63" w:rsidP="004C4C63">
      <w:pPr>
        <w:spacing w:after="0" w:line="240" w:lineRule="auto"/>
        <w:rPr>
          <w:rFonts w:ascii="Tahoma" w:eastAsia="Times New Roman" w:hAnsi="Tahoma" w:cs="Tahoma"/>
          <w:b/>
          <w:bCs/>
          <w:color w:val="FFFFFF" w:themeColor="background1"/>
          <w:sz w:val="24"/>
          <w:szCs w:val="24"/>
          <w:lang w:eastAsia="es-ES"/>
        </w:rPr>
      </w:pPr>
      <w:r w:rsidRPr="004C4C63">
        <w:rPr>
          <w:rFonts w:ascii="Tahoma" w:eastAsia="Times New Roman" w:hAnsi="Tahoma" w:cs="Tahoma"/>
          <w:b/>
          <w:bCs/>
          <w:color w:val="FFFFFF" w:themeColor="background1"/>
          <w:sz w:val="24"/>
          <w:szCs w:val="24"/>
          <w:lang w:eastAsia="es-ES"/>
        </w:rPr>
        <w:t>LA JUNTA DE POLÍTICA Y REGULACIÓN MONETARIA Y FINANCIERA</w:t>
      </w:r>
    </w:p>
    <w:p w:rsidR="004C4C63" w:rsidRPr="004C4C63" w:rsidRDefault="004C4C63" w:rsidP="004C4C63">
      <w:pPr>
        <w:spacing w:after="0" w:line="240" w:lineRule="auto"/>
        <w:rPr>
          <w:rFonts w:ascii="Tahoma" w:eastAsia="Times New Roman" w:hAnsi="Tahoma" w:cs="Tahoma"/>
          <w:b/>
          <w:bCs/>
          <w:color w:val="FFFFFF" w:themeColor="background1"/>
          <w:sz w:val="32"/>
          <w:szCs w:val="27"/>
          <w:lang w:eastAsia="es-ES"/>
        </w:rPr>
      </w:pPr>
    </w:p>
    <w:p w:rsidR="004C4C63" w:rsidRPr="0018394A" w:rsidRDefault="004C4C63" w:rsidP="004C4C63">
      <w:pPr>
        <w:pStyle w:val="Prrafodelista"/>
        <w:numPr>
          <w:ilvl w:val="0"/>
          <w:numId w:val="11"/>
        </w:numPr>
        <w:shd w:val="clear" w:color="auto" w:fill="FFFFFF"/>
        <w:spacing w:after="0" w:line="240" w:lineRule="auto"/>
        <w:jc w:val="both"/>
        <w:rPr>
          <w:rFonts w:ascii="Tahoma" w:eastAsia="Times New Roman" w:hAnsi="Tahoma" w:cs="Tahoma"/>
          <w:b/>
          <w:bCs/>
          <w:color w:val="000000"/>
          <w:sz w:val="18"/>
          <w:szCs w:val="16"/>
          <w:lang w:eastAsia="es-ES"/>
        </w:rPr>
      </w:pPr>
      <w:r w:rsidRPr="0018394A">
        <w:rPr>
          <w:rFonts w:ascii="Tahoma" w:hAnsi="Tahoma" w:cs="Tahoma"/>
          <w:b/>
          <w:bCs/>
          <w:color w:val="0070C0"/>
          <w:sz w:val="18"/>
          <w:szCs w:val="16"/>
          <w:shd w:val="clear" w:color="auto" w:fill="FFFFFF"/>
        </w:rPr>
        <w:t>Resolución 166-2015-F:</w:t>
      </w:r>
      <w:r w:rsidRPr="0018394A">
        <w:rPr>
          <w:rFonts w:ascii="Tahoma" w:hAnsi="Tahoma" w:cs="Tahoma"/>
          <w:bCs/>
          <w:color w:val="0070C0"/>
          <w:sz w:val="18"/>
          <w:szCs w:val="16"/>
          <w:shd w:val="clear" w:color="auto" w:fill="FFFFFF"/>
        </w:rPr>
        <w:t xml:space="preserve"> </w:t>
      </w:r>
      <w:r w:rsidRPr="0018394A">
        <w:rPr>
          <w:rFonts w:ascii="Tahoma" w:hAnsi="Tahoma" w:cs="Tahoma"/>
          <w:bCs/>
          <w:color w:val="000000"/>
          <w:sz w:val="18"/>
          <w:szCs w:val="16"/>
          <w:shd w:val="clear" w:color="auto" w:fill="FFFFFF"/>
        </w:rPr>
        <w:t xml:space="preserve">Se expide la Norma para fijar la contribución al seguro de depósitos del sector financiero popular y solidario. </w:t>
      </w:r>
    </w:p>
    <w:p w:rsidR="004C4C63" w:rsidRDefault="004C4C63" w:rsidP="004C4C63">
      <w:pPr>
        <w:shd w:val="clear" w:color="auto" w:fill="FFFFFF"/>
        <w:spacing w:after="0" w:line="240" w:lineRule="auto"/>
        <w:jc w:val="both"/>
        <w:rPr>
          <w:rFonts w:ascii="Tahoma" w:hAnsi="Tahoma" w:cs="Tahoma"/>
          <w:bCs/>
          <w:color w:val="000000"/>
          <w:sz w:val="16"/>
          <w:szCs w:val="16"/>
          <w:shd w:val="clear" w:color="auto" w:fill="FFFFFF"/>
        </w:rPr>
        <w:sectPr w:rsidR="004C4C63" w:rsidSect="00A76978">
          <w:type w:val="continuous"/>
          <w:pgSz w:w="11906" w:h="16838"/>
          <w:pgMar w:top="1175" w:right="849" w:bottom="1276" w:left="1276" w:header="709" w:footer="708" w:gutter="0"/>
          <w:cols w:space="708"/>
          <w:docGrid w:linePitch="360"/>
        </w:sectPr>
      </w:pPr>
    </w:p>
    <w:p w:rsidR="004C4C63" w:rsidRPr="0018394A" w:rsidRDefault="004C4C63" w:rsidP="004C4C63">
      <w:pPr>
        <w:shd w:val="clear" w:color="auto" w:fill="FFFFFF"/>
        <w:spacing w:after="0" w:line="240" w:lineRule="auto"/>
        <w:jc w:val="both"/>
        <w:rPr>
          <w:rFonts w:ascii="Tahoma" w:hAnsi="Tahoma" w:cs="Tahoma"/>
          <w:bCs/>
          <w:color w:val="000000"/>
          <w:sz w:val="16"/>
          <w:szCs w:val="16"/>
          <w:shd w:val="clear" w:color="auto" w:fill="FFFFFF"/>
        </w:rPr>
      </w:pPr>
      <w:r>
        <w:rPr>
          <w:noProof/>
          <w:lang w:val="es-EC" w:eastAsia="es-EC"/>
        </w:rPr>
        <w:lastRenderedPageBreak/>
        <w:drawing>
          <wp:anchor distT="0" distB="0" distL="114300" distR="114300" simplePos="0" relativeHeight="251670528" behindDoc="1" locked="0" layoutInCell="1" allowOverlap="1" wp14:anchorId="335CB283" wp14:editId="06392AFA">
            <wp:simplePos x="0" y="0"/>
            <wp:positionH relativeFrom="column">
              <wp:posOffset>541655</wp:posOffset>
            </wp:positionH>
            <wp:positionV relativeFrom="paragraph">
              <wp:posOffset>53340</wp:posOffset>
            </wp:positionV>
            <wp:extent cx="2178050" cy="1006475"/>
            <wp:effectExtent l="0" t="0" r="0" b="3175"/>
            <wp:wrapTight wrapText="bothSides">
              <wp:wrapPolygon edited="0">
                <wp:start x="0" y="0"/>
                <wp:lineTo x="0" y="21259"/>
                <wp:lineTo x="21348" y="21259"/>
                <wp:lineTo x="21348" y="0"/>
                <wp:lineTo x="0" y="0"/>
              </wp:wrapPolygon>
            </wp:wrapTight>
            <wp:docPr id="28" name="Picture 28" descr="http://en-missouri.com/wp-content/uploads/2015/01/preparacion-de-impuestos-tramite-it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en-missouri.com/wp-content/uploads/2015/01/preparacion-de-impuestos-tramite-itin.jp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0804" b="18366"/>
                    <a:stretch/>
                  </pic:blipFill>
                  <pic:spPr bwMode="auto">
                    <a:xfrm>
                      <a:off x="0" y="0"/>
                      <a:ext cx="2178050" cy="1006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b/>
          <w:bCs/>
          <w:color w:val="000000"/>
          <w:sz w:val="14"/>
          <w:szCs w:val="14"/>
          <w:shd w:val="clear" w:color="auto" w:fill="FFFFFF"/>
          <w:lang w:eastAsia="es-ES"/>
        </w:rPr>
        <w:t>ARTÍCULO 1.- Ámbito de aplicación: </w:t>
      </w:r>
      <w:r w:rsidRPr="0018394A">
        <w:rPr>
          <w:rFonts w:ascii="Tahoma" w:eastAsia="Times New Roman" w:hAnsi="Tahoma" w:cs="Tahoma"/>
          <w:color w:val="000000"/>
          <w:sz w:val="14"/>
          <w:szCs w:val="14"/>
          <w:shd w:val="clear" w:color="auto" w:fill="FFFFFF"/>
          <w:lang w:eastAsia="es-ES"/>
        </w:rPr>
        <w:t>la presente norma aplicará para las cooperativas de ahorro y crédito y las asociaciones mutualistas de ahorro y crédito para la vivienda, en adelante "entidades".</w:t>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color w:val="000000"/>
          <w:sz w:val="14"/>
          <w:szCs w:val="14"/>
          <w:lang w:eastAsia="es-ES"/>
        </w:rPr>
        <w:br/>
      </w:r>
      <w:r w:rsidRPr="0018394A">
        <w:rPr>
          <w:rFonts w:ascii="Tahoma" w:eastAsia="Times New Roman" w:hAnsi="Tahoma" w:cs="Tahoma"/>
          <w:b/>
          <w:bCs/>
          <w:color w:val="000000"/>
          <w:sz w:val="14"/>
          <w:szCs w:val="14"/>
          <w:shd w:val="clear" w:color="auto" w:fill="FFFFFF"/>
          <w:lang w:eastAsia="es-ES"/>
        </w:rPr>
        <w:t>ARTÍCULO 2.- </w:t>
      </w:r>
      <w:r w:rsidRPr="0018394A">
        <w:rPr>
          <w:rFonts w:ascii="Tahoma" w:eastAsia="Times New Roman" w:hAnsi="Tahoma" w:cs="Tahoma"/>
          <w:color w:val="000000"/>
          <w:sz w:val="14"/>
          <w:szCs w:val="14"/>
          <w:shd w:val="clear" w:color="auto" w:fill="FFFFFF"/>
          <w:lang w:eastAsia="es-ES"/>
        </w:rPr>
        <w:t>Las entidades contribuirán al Seguro de Depósitos sobre la base de las obligaciones con el público que constan en los balances reportados por las entidades al respectivo organismo de control, de acuerdo al correspondiente segmento, prima fija, fecha, periodicidad y base de cálculo establecidos en la siguiente tabla:</w:t>
      </w:r>
    </w:p>
    <w:p w:rsidR="004C4C63" w:rsidRPr="0018394A" w:rsidRDefault="004C4C63" w:rsidP="004C4C63">
      <w:pPr>
        <w:shd w:val="clear" w:color="auto" w:fill="FFFFFF"/>
        <w:spacing w:after="0" w:line="240" w:lineRule="auto"/>
        <w:jc w:val="both"/>
        <w:rPr>
          <w:rFonts w:ascii="Tahoma" w:eastAsia="Times New Roman" w:hAnsi="Tahoma" w:cs="Tahoma"/>
          <w:color w:val="000000"/>
          <w:sz w:val="14"/>
          <w:szCs w:val="14"/>
          <w:lang w:eastAsia="es-ES"/>
        </w:rPr>
      </w:pPr>
    </w:p>
    <w:tbl>
      <w:tblPr>
        <w:tblW w:w="0" w:type="auto"/>
        <w:jc w:val="center"/>
        <w:tblInd w:w="434"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650"/>
        <w:gridCol w:w="512"/>
        <w:gridCol w:w="366"/>
        <w:gridCol w:w="930"/>
        <w:gridCol w:w="762"/>
        <w:gridCol w:w="1040"/>
      </w:tblGrid>
      <w:tr w:rsidR="004C4C63" w:rsidRPr="0018394A" w:rsidTr="00575CF7">
        <w:trPr>
          <w:jc w:val="center"/>
        </w:trPr>
        <w:tc>
          <w:tcPr>
            <w:tcW w:w="654" w:type="dxa"/>
            <w:vMerge w:val="restart"/>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b/>
                <w:bCs/>
                <w:color w:val="000000"/>
                <w:sz w:val="12"/>
                <w:szCs w:val="12"/>
                <w:lang w:eastAsia="es-ES"/>
              </w:rPr>
              <w:t>Segmento</w:t>
            </w:r>
          </w:p>
        </w:tc>
        <w:tc>
          <w:tcPr>
            <w:tcW w:w="0" w:type="auto"/>
            <w:gridSpan w:val="2"/>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r w:rsidRPr="0018394A">
              <w:rPr>
                <w:rFonts w:ascii="Tahoma" w:eastAsia="Times New Roman" w:hAnsi="Tahoma" w:cs="Tahoma"/>
                <w:b/>
                <w:bCs/>
                <w:color w:val="000000"/>
                <w:sz w:val="12"/>
                <w:szCs w:val="12"/>
                <w:lang w:eastAsia="es-ES"/>
              </w:rPr>
              <w:t>Prima fija de contribución</w:t>
            </w:r>
          </w:p>
        </w:tc>
        <w:tc>
          <w:tcPr>
            <w:tcW w:w="1003" w:type="dxa"/>
            <w:vMerge w:val="restart"/>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r w:rsidRPr="0018394A">
              <w:rPr>
                <w:rFonts w:ascii="Tahoma" w:eastAsia="Times New Roman" w:hAnsi="Tahoma" w:cs="Tahoma"/>
                <w:b/>
                <w:bCs/>
                <w:color w:val="000000"/>
                <w:sz w:val="12"/>
                <w:szCs w:val="12"/>
                <w:lang w:eastAsia="es-ES"/>
              </w:rPr>
              <w:t>Inicio de pago</w:t>
            </w:r>
          </w:p>
        </w:tc>
        <w:tc>
          <w:tcPr>
            <w:tcW w:w="586" w:type="dxa"/>
            <w:vMerge w:val="restart"/>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r w:rsidRPr="0018394A">
              <w:rPr>
                <w:rFonts w:ascii="Tahoma" w:eastAsia="Times New Roman" w:hAnsi="Tahoma" w:cs="Tahoma"/>
                <w:b/>
                <w:bCs/>
                <w:color w:val="000000"/>
                <w:sz w:val="12"/>
                <w:szCs w:val="12"/>
                <w:lang w:eastAsia="es-ES"/>
              </w:rPr>
              <w:t>Periodicidad</w:t>
            </w:r>
          </w:p>
        </w:tc>
        <w:tc>
          <w:tcPr>
            <w:tcW w:w="1139" w:type="dxa"/>
            <w:vMerge w:val="restart"/>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r w:rsidRPr="0018394A">
              <w:rPr>
                <w:rFonts w:ascii="Tahoma" w:eastAsia="Times New Roman" w:hAnsi="Tahoma" w:cs="Tahoma"/>
                <w:b/>
                <w:color w:val="000000"/>
                <w:sz w:val="12"/>
                <w:szCs w:val="12"/>
                <w:lang w:eastAsia="es-ES"/>
              </w:rPr>
              <w:t>Base de cálculo</w:t>
            </w:r>
          </w:p>
        </w:tc>
      </w:tr>
      <w:tr w:rsidR="004C4C63" w:rsidRPr="0018394A" w:rsidTr="00575CF7">
        <w:trPr>
          <w:jc w:val="center"/>
        </w:trPr>
        <w:tc>
          <w:tcPr>
            <w:tcW w:w="654"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p>
        </w:tc>
        <w:tc>
          <w:tcPr>
            <w:tcW w:w="0" w:type="auto"/>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color w:val="000000"/>
                <w:sz w:val="10"/>
                <w:szCs w:val="10"/>
                <w:lang w:eastAsia="es-ES"/>
              </w:rPr>
            </w:pPr>
            <w:r w:rsidRPr="0018394A">
              <w:rPr>
                <w:rFonts w:ascii="Tahoma" w:eastAsia="Times New Roman" w:hAnsi="Tahoma" w:cs="Tahoma"/>
                <w:b/>
                <w:color w:val="000000"/>
                <w:sz w:val="10"/>
                <w:szCs w:val="10"/>
                <w:lang w:eastAsia="es-ES"/>
              </w:rPr>
              <w:t>Hasta diciembre de 2018</w:t>
            </w:r>
          </w:p>
        </w:tc>
        <w:tc>
          <w:tcPr>
            <w:tcW w:w="0" w:type="auto"/>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color w:val="000000"/>
                <w:sz w:val="10"/>
                <w:szCs w:val="10"/>
                <w:lang w:eastAsia="es-ES"/>
              </w:rPr>
            </w:pPr>
            <w:r w:rsidRPr="0018394A">
              <w:rPr>
                <w:rFonts w:ascii="Tahoma" w:eastAsia="Times New Roman" w:hAnsi="Tahoma" w:cs="Tahoma"/>
                <w:b/>
                <w:color w:val="000000"/>
                <w:sz w:val="10"/>
                <w:szCs w:val="10"/>
                <w:lang w:eastAsia="es-ES"/>
              </w:rPr>
              <w:t>Desde enero de 2019</w:t>
            </w:r>
          </w:p>
        </w:tc>
        <w:tc>
          <w:tcPr>
            <w:tcW w:w="1003"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p>
        </w:tc>
        <w:tc>
          <w:tcPr>
            <w:tcW w:w="586"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p>
        </w:tc>
        <w:tc>
          <w:tcPr>
            <w:tcW w:w="113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4C4C63" w:rsidRPr="0018394A" w:rsidRDefault="004C4C63" w:rsidP="00575CF7">
            <w:pPr>
              <w:spacing w:after="0" w:line="240" w:lineRule="auto"/>
              <w:jc w:val="center"/>
              <w:rPr>
                <w:rFonts w:ascii="Tahoma" w:eastAsia="Times New Roman" w:hAnsi="Tahoma" w:cs="Tahoma"/>
                <w:b/>
                <w:color w:val="000000"/>
                <w:sz w:val="12"/>
                <w:szCs w:val="12"/>
                <w:lang w:eastAsia="es-ES"/>
              </w:rPr>
            </w:pPr>
          </w:p>
        </w:tc>
      </w:tr>
      <w:tr w:rsidR="004C4C63" w:rsidRPr="0018394A" w:rsidTr="00575CF7">
        <w:trPr>
          <w:jc w:val="center"/>
        </w:trPr>
        <w:tc>
          <w:tcPr>
            <w:tcW w:w="6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1</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0,65%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0,65%</w:t>
            </w:r>
          </w:p>
        </w:tc>
        <w:tc>
          <w:tcPr>
            <w:tcW w:w="10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Inmediato</w:t>
            </w:r>
          </w:p>
        </w:tc>
        <w:tc>
          <w:tcPr>
            <w:tcW w:w="5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Mensual</w:t>
            </w:r>
          </w:p>
        </w:tc>
        <w:tc>
          <w:tcPr>
            <w:tcW w:w="113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Balance diario</w:t>
            </w:r>
          </w:p>
        </w:tc>
      </w:tr>
      <w:tr w:rsidR="004C4C63" w:rsidRPr="0018394A" w:rsidTr="00575CF7">
        <w:trPr>
          <w:jc w:val="center"/>
        </w:trPr>
        <w:tc>
          <w:tcPr>
            <w:tcW w:w="6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0,65%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0,65%</w:t>
            </w:r>
          </w:p>
        </w:tc>
        <w:tc>
          <w:tcPr>
            <w:tcW w:w="10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Inmediato</w:t>
            </w:r>
          </w:p>
        </w:tc>
        <w:tc>
          <w:tcPr>
            <w:tcW w:w="5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Mensual</w:t>
            </w:r>
          </w:p>
        </w:tc>
        <w:tc>
          <w:tcPr>
            <w:tcW w:w="113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Balance mensual</w:t>
            </w:r>
          </w:p>
        </w:tc>
      </w:tr>
      <w:tr w:rsidR="004C4C63" w:rsidRPr="0018394A" w:rsidTr="00575CF7">
        <w:trPr>
          <w:jc w:val="center"/>
        </w:trPr>
        <w:tc>
          <w:tcPr>
            <w:tcW w:w="6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3</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0,25%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0,50%</w:t>
            </w:r>
          </w:p>
        </w:tc>
        <w:tc>
          <w:tcPr>
            <w:tcW w:w="10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Junio de 2016</w:t>
            </w:r>
          </w:p>
        </w:tc>
        <w:tc>
          <w:tcPr>
            <w:tcW w:w="5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Anual y/o mensual</w:t>
            </w:r>
          </w:p>
        </w:tc>
        <w:tc>
          <w:tcPr>
            <w:tcW w:w="113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Balance mensual</w:t>
            </w:r>
          </w:p>
        </w:tc>
      </w:tr>
      <w:tr w:rsidR="004C4C63" w:rsidRPr="0018394A" w:rsidTr="00575CF7">
        <w:trPr>
          <w:jc w:val="center"/>
        </w:trPr>
        <w:tc>
          <w:tcPr>
            <w:tcW w:w="6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4</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0,12%</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0,25%</w:t>
            </w:r>
          </w:p>
        </w:tc>
        <w:tc>
          <w:tcPr>
            <w:tcW w:w="10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Diciembre de 2016</w:t>
            </w:r>
          </w:p>
        </w:tc>
        <w:tc>
          <w:tcPr>
            <w:tcW w:w="5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Anual</w:t>
            </w:r>
          </w:p>
        </w:tc>
        <w:tc>
          <w:tcPr>
            <w:tcW w:w="113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Balance del mes de diciembre del año anterior</w:t>
            </w:r>
          </w:p>
        </w:tc>
      </w:tr>
      <w:tr w:rsidR="004C4C63" w:rsidRPr="0018394A" w:rsidTr="00575CF7">
        <w:trPr>
          <w:jc w:val="center"/>
        </w:trPr>
        <w:tc>
          <w:tcPr>
            <w:tcW w:w="654"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0,05%</w:t>
            </w:r>
          </w:p>
        </w:tc>
        <w:tc>
          <w:tcPr>
            <w:tcW w:w="0" w:type="auto"/>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0,10%</w:t>
            </w:r>
          </w:p>
        </w:tc>
        <w:tc>
          <w:tcPr>
            <w:tcW w:w="1003"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Diciembre de 2016</w:t>
            </w:r>
          </w:p>
        </w:tc>
        <w:tc>
          <w:tcPr>
            <w:tcW w:w="586"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Anual</w:t>
            </w:r>
          </w:p>
        </w:tc>
        <w:tc>
          <w:tcPr>
            <w:tcW w:w="1139" w:type="dxa"/>
            <w:tcBorders>
              <w:top w:val="outset" w:sz="6" w:space="0" w:color="auto"/>
              <w:left w:val="outset" w:sz="6" w:space="0" w:color="auto"/>
              <w:bottom w:val="outset" w:sz="6" w:space="0" w:color="auto"/>
              <w:right w:val="outset" w:sz="6" w:space="0" w:color="auto"/>
            </w:tcBorders>
            <w:shd w:val="clear" w:color="auto" w:fill="FFFFFF"/>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color w:val="000000"/>
                <w:sz w:val="12"/>
                <w:szCs w:val="12"/>
                <w:lang w:eastAsia="es-ES"/>
              </w:rPr>
            </w:pPr>
            <w:r w:rsidRPr="0018394A">
              <w:rPr>
                <w:rFonts w:ascii="Tahoma" w:eastAsia="Times New Roman" w:hAnsi="Tahoma" w:cs="Tahoma"/>
                <w:color w:val="000000"/>
                <w:sz w:val="12"/>
                <w:szCs w:val="12"/>
                <w:lang w:eastAsia="es-ES"/>
              </w:rPr>
              <w:t>Balance del mes de diciembre del año anterior</w:t>
            </w:r>
          </w:p>
        </w:tc>
      </w:tr>
    </w:tbl>
    <w:p w:rsidR="004C4C63" w:rsidRPr="0018394A" w:rsidRDefault="004C4C63" w:rsidP="00931822">
      <w:pPr>
        <w:spacing w:after="0" w:line="240" w:lineRule="auto"/>
        <w:jc w:val="both"/>
        <w:rPr>
          <w:rFonts w:ascii="Tahoma" w:eastAsia="Times New Roman" w:hAnsi="Tahoma" w:cs="Tahoma"/>
          <w:color w:val="000000"/>
          <w:sz w:val="14"/>
          <w:szCs w:val="14"/>
          <w:lang w:eastAsia="es-ES"/>
        </w:rPr>
      </w:pPr>
      <w:r w:rsidRPr="0018394A">
        <w:rPr>
          <w:rFonts w:ascii="Tahoma" w:eastAsia="Times New Roman" w:hAnsi="Tahoma" w:cs="Tahoma"/>
          <w:color w:val="000000"/>
          <w:sz w:val="14"/>
          <w:szCs w:val="14"/>
          <w:lang w:eastAsia="es-ES"/>
        </w:rPr>
        <w:br/>
      </w:r>
      <w:r w:rsidRPr="0018394A">
        <w:rPr>
          <w:rFonts w:ascii="Tahoma" w:eastAsia="Times New Roman" w:hAnsi="Tahoma" w:cs="Tahoma"/>
          <w:b/>
          <w:bCs/>
          <w:color w:val="000000"/>
          <w:sz w:val="14"/>
          <w:szCs w:val="14"/>
          <w:lang w:eastAsia="es-ES"/>
        </w:rPr>
        <w:t>DISPOSICIONES TRANSITORIAS </w:t>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color w:val="000000"/>
          <w:sz w:val="14"/>
          <w:szCs w:val="14"/>
          <w:shd w:val="clear" w:color="auto" w:fill="FFFFFF"/>
          <w:lang w:eastAsia="es-ES"/>
        </w:rPr>
        <w:lastRenderedPageBreak/>
        <w:br/>
      </w:r>
      <w:r w:rsidRPr="0018394A">
        <w:rPr>
          <w:rFonts w:ascii="Tahoma" w:eastAsia="Times New Roman" w:hAnsi="Tahoma" w:cs="Tahoma"/>
          <w:b/>
          <w:bCs/>
          <w:color w:val="000000"/>
          <w:sz w:val="14"/>
          <w:szCs w:val="14"/>
          <w:shd w:val="clear" w:color="auto" w:fill="FFFFFF"/>
          <w:lang w:eastAsia="es-ES"/>
        </w:rPr>
        <w:t>PRIMERA.- </w:t>
      </w:r>
      <w:r w:rsidRPr="0018394A">
        <w:rPr>
          <w:rFonts w:ascii="Tahoma" w:eastAsia="Times New Roman" w:hAnsi="Tahoma" w:cs="Tahoma"/>
          <w:color w:val="000000"/>
          <w:sz w:val="14"/>
          <w:szCs w:val="14"/>
          <w:shd w:val="clear" w:color="auto" w:fill="FFFFFF"/>
          <w:lang w:eastAsia="es-ES"/>
        </w:rPr>
        <w:t>Las entidades del segmento 3 que no hubieren contribuido al Seguro de Depósitos a partir de la vigencia del Código Orgánico Monetario y Financiero pagarán sus contribuciones pendientes, de conformidad con el siguiente cronograma de pagos:</w:t>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833"/>
        <w:gridCol w:w="1705"/>
        <w:gridCol w:w="1156"/>
      </w:tblGrid>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b/>
                <w:bCs/>
                <w:sz w:val="12"/>
                <w:szCs w:val="12"/>
                <w:lang w:eastAsia="es-ES"/>
              </w:rPr>
              <w:t>Período de contribución</w:t>
            </w:r>
          </w:p>
        </w:tc>
        <w:tc>
          <w:tcPr>
            <w:tcW w:w="1901" w:type="dxa"/>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b/>
                <w:bCs/>
                <w:sz w:val="12"/>
                <w:szCs w:val="12"/>
                <w:lang w:eastAsia="es-ES"/>
              </w:rPr>
              <w:t>Fecha de pago</w:t>
            </w:r>
          </w:p>
        </w:tc>
        <w:tc>
          <w:tcPr>
            <w:tcW w:w="1276" w:type="dxa"/>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b/>
                <w:bCs/>
                <w:sz w:val="12"/>
                <w:szCs w:val="12"/>
                <w:lang w:eastAsia="es-ES"/>
              </w:rPr>
              <w:t>Base de cálculo</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13 de septiembre - diciembre 2014</w:t>
            </w:r>
          </w:p>
        </w:tc>
        <w:tc>
          <w:tcPr>
            <w:tcW w:w="190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30 de junio de 2016</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2013</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2015</w:t>
            </w:r>
          </w:p>
        </w:tc>
        <w:tc>
          <w:tcPr>
            <w:tcW w:w="190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31 de diciembre de 2016</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2014</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2016</w:t>
            </w:r>
          </w:p>
        </w:tc>
        <w:tc>
          <w:tcPr>
            <w:tcW w:w="190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30 de junio de 2017</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2015</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2017</w:t>
            </w:r>
          </w:p>
        </w:tc>
        <w:tc>
          <w:tcPr>
            <w:tcW w:w="190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31 de diciembre de 2017</w:t>
            </w:r>
          </w:p>
        </w:tc>
        <w:tc>
          <w:tcPr>
            <w:tcW w:w="1276"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2016</w:t>
            </w:r>
          </w:p>
        </w:tc>
      </w:tr>
    </w:tbl>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color w:val="000000"/>
          <w:sz w:val="14"/>
          <w:szCs w:val="14"/>
          <w:shd w:val="clear" w:color="auto" w:fill="FFFFFF"/>
          <w:lang w:eastAsia="es-ES"/>
        </w:rPr>
        <w:t>A partir del 1 de enero de 2018, las contribuciones serán pagadas mensualmente.</w:t>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color w:val="000000"/>
          <w:sz w:val="14"/>
          <w:szCs w:val="14"/>
          <w:shd w:val="clear" w:color="auto" w:fill="FFFFFF"/>
          <w:lang w:eastAsia="es-ES"/>
        </w:rPr>
        <w:br/>
      </w:r>
      <w:r w:rsidRPr="0018394A">
        <w:rPr>
          <w:rFonts w:ascii="Tahoma" w:eastAsia="Times New Roman" w:hAnsi="Tahoma" w:cs="Tahoma"/>
          <w:b/>
          <w:bCs/>
          <w:color w:val="000000"/>
          <w:sz w:val="14"/>
          <w:szCs w:val="14"/>
          <w:shd w:val="clear" w:color="auto" w:fill="FFFFFF"/>
          <w:lang w:eastAsia="es-ES"/>
        </w:rPr>
        <w:t>SEGUNDA.- </w:t>
      </w:r>
      <w:r w:rsidRPr="0018394A">
        <w:rPr>
          <w:rFonts w:ascii="Tahoma" w:eastAsia="Times New Roman" w:hAnsi="Tahoma" w:cs="Tahoma"/>
          <w:color w:val="000000"/>
          <w:sz w:val="14"/>
          <w:szCs w:val="14"/>
          <w:shd w:val="clear" w:color="auto" w:fill="FFFFFF"/>
          <w:lang w:eastAsia="es-ES"/>
        </w:rPr>
        <w:t>Las entidades de los segmentos 4 y 5 que no hubieren contribuido al Seguro de Depósitos a partir de la vigencia Código Orgánico Monetario y Financiero pagarán sus contribuciones pendientes, de conformidad con el siguiente cronograma de pagos:</w:t>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772"/>
        <w:gridCol w:w="1704"/>
        <w:gridCol w:w="1218"/>
      </w:tblGrid>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b/>
                <w:bCs/>
                <w:sz w:val="12"/>
                <w:szCs w:val="12"/>
                <w:lang w:eastAsia="es-ES"/>
              </w:rPr>
              <w:t>Período de contribución</w:t>
            </w:r>
          </w:p>
        </w:tc>
        <w:tc>
          <w:tcPr>
            <w:tcW w:w="1985" w:type="dxa"/>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b/>
                <w:bCs/>
                <w:sz w:val="12"/>
                <w:szCs w:val="12"/>
                <w:lang w:eastAsia="es-ES"/>
              </w:rPr>
              <w:t>Fecha de pago</w:t>
            </w:r>
          </w:p>
        </w:tc>
        <w:tc>
          <w:tcPr>
            <w:tcW w:w="1405" w:type="dxa"/>
            <w:tcBorders>
              <w:top w:val="outset" w:sz="6" w:space="0" w:color="auto"/>
              <w:left w:val="outset" w:sz="6" w:space="0" w:color="auto"/>
              <w:bottom w:val="outset" w:sz="6" w:space="0" w:color="auto"/>
              <w:right w:val="outset" w:sz="6" w:space="0" w:color="auto"/>
            </w:tcBorders>
            <w:shd w:val="clear" w:color="auto" w:fill="EAF1DD" w:themeFill="accent3" w:themeFillTint="33"/>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b/>
                <w:sz w:val="12"/>
                <w:szCs w:val="12"/>
                <w:lang w:eastAsia="es-ES"/>
              </w:rPr>
            </w:pPr>
            <w:r w:rsidRPr="0018394A">
              <w:rPr>
                <w:rFonts w:ascii="Tahoma" w:eastAsia="Times New Roman" w:hAnsi="Tahoma" w:cs="Tahoma"/>
                <w:b/>
                <w:sz w:val="12"/>
                <w:szCs w:val="12"/>
                <w:lang w:eastAsia="es-ES"/>
              </w:rPr>
              <w:t>Base de cálculo</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13 de septiembre - diciembre 2014</w:t>
            </w:r>
          </w:p>
        </w:tc>
        <w:tc>
          <w:tcPr>
            <w:tcW w:w="198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31 de diciembre de 2016</w:t>
            </w:r>
          </w:p>
        </w:tc>
        <w:tc>
          <w:tcPr>
            <w:tcW w:w="140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2013</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2015</w:t>
            </w:r>
          </w:p>
        </w:tc>
        <w:tc>
          <w:tcPr>
            <w:tcW w:w="198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30 de junio de 2017</w:t>
            </w:r>
          </w:p>
        </w:tc>
        <w:tc>
          <w:tcPr>
            <w:tcW w:w="140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2014</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2016</w:t>
            </w:r>
          </w:p>
        </w:tc>
        <w:tc>
          <w:tcPr>
            <w:tcW w:w="198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31 de diciembre de 2017</w:t>
            </w:r>
          </w:p>
        </w:tc>
        <w:tc>
          <w:tcPr>
            <w:tcW w:w="140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2015</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2017</w:t>
            </w:r>
          </w:p>
        </w:tc>
        <w:tc>
          <w:tcPr>
            <w:tcW w:w="198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30 de junio de 2018</w:t>
            </w:r>
          </w:p>
        </w:tc>
        <w:tc>
          <w:tcPr>
            <w:tcW w:w="140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2016</w:t>
            </w:r>
          </w:p>
        </w:tc>
      </w:tr>
      <w:tr w:rsidR="004C4C63" w:rsidRPr="0018394A" w:rsidTr="00575CF7">
        <w:trPr>
          <w:jc w:val="center"/>
        </w:trPr>
        <w:tc>
          <w:tcPr>
            <w:tcW w:w="2011"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Enero - diciembre 2018</w:t>
            </w:r>
          </w:p>
        </w:tc>
        <w:tc>
          <w:tcPr>
            <w:tcW w:w="198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Hasta 31 de diciembre de 2018</w:t>
            </w:r>
          </w:p>
        </w:tc>
        <w:tc>
          <w:tcPr>
            <w:tcW w:w="1405" w:type="dxa"/>
            <w:tcBorders>
              <w:top w:val="outset" w:sz="6" w:space="0" w:color="auto"/>
              <w:left w:val="outset" w:sz="6" w:space="0" w:color="auto"/>
              <w:bottom w:val="outset" w:sz="6" w:space="0" w:color="auto"/>
              <w:right w:val="outset" w:sz="6" w:space="0" w:color="auto"/>
            </w:tcBorders>
            <w:tcMar>
              <w:top w:w="0" w:type="dxa"/>
              <w:left w:w="0" w:type="dxa"/>
              <w:bottom w:w="0" w:type="dxa"/>
              <w:right w:w="0" w:type="dxa"/>
            </w:tcMar>
            <w:vAlign w:val="center"/>
            <w:hideMark/>
          </w:tcPr>
          <w:p w:rsidR="004C4C63" w:rsidRPr="0018394A" w:rsidRDefault="004C4C63" w:rsidP="00575CF7">
            <w:pPr>
              <w:spacing w:after="0" w:line="240" w:lineRule="auto"/>
              <w:jc w:val="center"/>
              <w:rPr>
                <w:rFonts w:ascii="Tahoma" w:eastAsia="Times New Roman" w:hAnsi="Tahoma" w:cs="Tahoma"/>
                <w:sz w:val="12"/>
                <w:szCs w:val="12"/>
                <w:lang w:eastAsia="es-ES"/>
              </w:rPr>
            </w:pPr>
            <w:r w:rsidRPr="0018394A">
              <w:rPr>
                <w:rFonts w:ascii="Tahoma" w:eastAsia="Times New Roman" w:hAnsi="Tahoma" w:cs="Tahoma"/>
                <w:sz w:val="12"/>
                <w:szCs w:val="12"/>
                <w:lang w:eastAsia="es-ES"/>
              </w:rPr>
              <w:t>Balance anual 2017</w:t>
            </w:r>
          </w:p>
        </w:tc>
      </w:tr>
    </w:tbl>
    <w:p w:rsidR="004C4C63" w:rsidRPr="0018394A" w:rsidRDefault="004C4C63" w:rsidP="004C4C63">
      <w:pPr>
        <w:spacing w:after="0" w:line="240" w:lineRule="auto"/>
        <w:jc w:val="center"/>
        <w:rPr>
          <w:rFonts w:ascii="Tahoma" w:eastAsia="Times New Roman" w:hAnsi="Tahoma" w:cs="Tahoma"/>
          <w:color w:val="000000"/>
          <w:sz w:val="14"/>
          <w:szCs w:val="14"/>
          <w:shd w:val="clear" w:color="auto" w:fill="FFFFFF"/>
          <w:lang w:eastAsia="es-ES"/>
        </w:rPr>
      </w:pP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color w:val="000000"/>
          <w:sz w:val="14"/>
          <w:szCs w:val="14"/>
          <w:shd w:val="clear" w:color="auto" w:fill="FFFFFF"/>
          <w:lang w:eastAsia="es-ES"/>
        </w:rPr>
        <w:t>A partir del 1 de enero de 2019, las contribuciones serán anuales y se pagarán hasta el 30 de junio de cada año, sobre la base de cálculo del balance anual del año inmediato anterior.</w:t>
      </w:r>
    </w:p>
    <w:p w:rsidR="004C4C63" w:rsidRPr="0018394A" w:rsidRDefault="004C4C63" w:rsidP="004C4C63">
      <w:pPr>
        <w:spacing w:after="0" w:line="240" w:lineRule="auto"/>
        <w:jc w:val="both"/>
        <w:rPr>
          <w:rFonts w:ascii="Tahoma" w:eastAsia="Times New Roman" w:hAnsi="Tahoma" w:cs="Tahoma"/>
          <w:color w:val="000000"/>
          <w:sz w:val="14"/>
          <w:szCs w:val="14"/>
          <w:shd w:val="clear" w:color="auto" w:fill="FFFFFF"/>
          <w:lang w:eastAsia="es-ES"/>
        </w:rPr>
      </w:pPr>
      <w:r w:rsidRPr="0018394A">
        <w:rPr>
          <w:rFonts w:ascii="Tahoma" w:eastAsia="Times New Roman" w:hAnsi="Tahoma" w:cs="Tahoma"/>
          <w:color w:val="000000"/>
          <w:sz w:val="14"/>
          <w:szCs w:val="14"/>
          <w:shd w:val="clear" w:color="auto" w:fill="FFFFFF"/>
          <w:lang w:eastAsia="es-ES"/>
        </w:rPr>
        <w:br/>
      </w:r>
      <w:r w:rsidRPr="0018394A">
        <w:rPr>
          <w:rFonts w:ascii="Tahoma" w:eastAsia="Times New Roman" w:hAnsi="Tahoma" w:cs="Tahoma"/>
          <w:b/>
          <w:bCs/>
          <w:color w:val="000000"/>
          <w:sz w:val="14"/>
          <w:szCs w:val="14"/>
          <w:shd w:val="clear" w:color="auto" w:fill="FFFFFF"/>
          <w:lang w:eastAsia="es-ES"/>
        </w:rPr>
        <w:t>DISPOSICIÓN FINAL.- </w:t>
      </w:r>
      <w:r w:rsidRPr="0018394A">
        <w:rPr>
          <w:rFonts w:ascii="Tahoma" w:eastAsia="Times New Roman" w:hAnsi="Tahoma" w:cs="Tahoma"/>
          <w:color w:val="000000"/>
          <w:sz w:val="14"/>
          <w:szCs w:val="14"/>
          <w:shd w:val="clear" w:color="auto" w:fill="FFFFFF"/>
          <w:lang w:eastAsia="es-ES"/>
        </w:rPr>
        <w:t>La presente resolución entrará en vigencia a partir de su publicación en el Registro Oficial.</w:t>
      </w:r>
    </w:p>
    <w:p w:rsidR="004C4C63" w:rsidRDefault="004C4C63" w:rsidP="004C4C63">
      <w:pPr>
        <w:spacing w:after="0" w:line="240" w:lineRule="auto"/>
        <w:rPr>
          <w:rFonts w:ascii="Tahoma" w:hAnsi="Tahoma" w:cs="Tahoma"/>
          <w:sz w:val="16"/>
          <w:szCs w:val="16"/>
        </w:rPr>
        <w:sectPr w:rsidR="004C4C63" w:rsidSect="0018394A">
          <w:type w:val="continuous"/>
          <w:pgSz w:w="11906" w:h="16838"/>
          <w:pgMar w:top="1175" w:right="849" w:bottom="1276" w:left="1276" w:header="709" w:footer="708" w:gutter="0"/>
          <w:cols w:num="2" w:space="425"/>
          <w:docGrid w:linePitch="360"/>
        </w:sectPr>
      </w:pPr>
    </w:p>
    <w:p w:rsidR="004C4C63" w:rsidRDefault="004C4C63" w:rsidP="004C4C63">
      <w:pPr>
        <w:spacing w:after="0" w:line="240" w:lineRule="auto"/>
        <w:rPr>
          <w:rFonts w:ascii="Tahoma" w:hAnsi="Tahoma" w:cs="Tahoma"/>
          <w:sz w:val="16"/>
          <w:szCs w:val="16"/>
        </w:rPr>
      </w:pPr>
    </w:p>
    <w:p w:rsidR="004C4C63" w:rsidRDefault="004C4C63" w:rsidP="004C4C63">
      <w:pPr>
        <w:spacing w:after="0" w:line="240" w:lineRule="auto"/>
        <w:rPr>
          <w:rFonts w:ascii="Tahoma" w:hAnsi="Tahoma" w:cs="Tahoma"/>
          <w:sz w:val="16"/>
          <w:szCs w:val="16"/>
        </w:rPr>
        <w:sectPr w:rsidR="004C4C63" w:rsidSect="0018394A">
          <w:type w:val="continuous"/>
          <w:pgSz w:w="11906" w:h="16838"/>
          <w:pgMar w:top="1175" w:right="849" w:bottom="1276" w:left="1276" w:header="709" w:footer="708" w:gutter="0"/>
          <w:cols w:num="2" w:space="708"/>
          <w:docGrid w:linePitch="360"/>
        </w:sectPr>
      </w:pPr>
    </w:p>
    <w:p w:rsidR="004C4C63" w:rsidRPr="00634277" w:rsidRDefault="004C4C63" w:rsidP="00931822">
      <w:pPr>
        <w:spacing w:after="0" w:line="240" w:lineRule="auto"/>
        <w:rPr>
          <w:rFonts w:ascii="Tahoma" w:hAnsi="Tahoma" w:cs="Tahoma"/>
          <w:sz w:val="16"/>
          <w:szCs w:val="16"/>
        </w:rPr>
      </w:pPr>
    </w:p>
    <w:p w:rsidR="004C4C63" w:rsidRPr="00634277" w:rsidRDefault="00931822" w:rsidP="00931822">
      <w:pPr>
        <w:spacing w:after="0" w:line="240" w:lineRule="auto"/>
        <w:jc w:val="both"/>
        <w:rPr>
          <w:rFonts w:ascii="Tahoma" w:hAnsi="Tahoma" w:cs="Tahoma"/>
          <w:sz w:val="16"/>
          <w:szCs w:val="16"/>
        </w:rPr>
      </w:pPr>
      <w:r w:rsidRPr="005B5D4F">
        <w:rPr>
          <w:rFonts w:ascii="Tahoma" w:eastAsia="Times New Roman" w:hAnsi="Tahoma" w:cs="Tahoma"/>
          <w:b/>
          <w:bCs/>
          <w:noProof/>
          <w:color w:val="FFFFFF" w:themeColor="background1"/>
          <w:sz w:val="24"/>
          <w:szCs w:val="16"/>
          <w:lang w:val="es-EC" w:eastAsia="es-EC"/>
        </w:rPr>
        <mc:AlternateContent>
          <mc:Choice Requires="wps">
            <w:drawing>
              <wp:anchor distT="0" distB="0" distL="114300" distR="114300" simplePos="0" relativeHeight="251673600" behindDoc="1" locked="0" layoutInCell="1" allowOverlap="1" wp14:anchorId="4A742790" wp14:editId="651EA0A4">
                <wp:simplePos x="0" y="0"/>
                <wp:positionH relativeFrom="column">
                  <wp:posOffset>-1106805</wp:posOffset>
                </wp:positionH>
                <wp:positionV relativeFrom="paragraph">
                  <wp:posOffset>85725</wp:posOffset>
                </wp:positionV>
                <wp:extent cx="7258050" cy="254000"/>
                <wp:effectExtent l="57150" t="19050" r="38100" b="88900"/>
                <wp:wrapNone/>
                <wp:docPr id="30" name="Rounded Rectangle 30"/>
                <wp:cNvGraphicFramePr/>
                <a:graphic xmlns:a="http://schemas.openxmlformats.org/drawingml/2006/main">
                  <a:graphicData uri="http://schemas.microsoft.com/office/word/2010/wordprocessingShape">
                    <wps:wsp>
                      <wps:cNvSpPr/>
                      <wps:spPr>
                        <a:xfrm>
                          <a:off x="0" y="0"/>
                          <a:ext cx="7258050" cy="254000"/>
                        </a:xfrm>
                        <a:prstGeom prst="roundRect">
                          <a:avLst/>
                        </a:prstGeom>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30" o:spid="_x0000_s1026" style="position:absolute;margin-left:-87.15pt;margin-top:6.75pt;width:571.5pt;height:20pt;z-index:-25164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" fillcolor="#254163 [1636]" strokecolor="#4579b8 [3044]">
                <v:fill color2="#4477b6 [3012]" rotate="t" angle="180" colors="0 #2c5d98;52429f #3c7bc7;1 #3a7ccb" focus="100%" type="gradient">
                  <o:fill v:ext="view" type="gradientUnscaled"/>
                </v:fill>
                <v:shadow on="t" color="black" opacity="22937f" origin=",.5" offset="0,.63889mm"/>
              </v:roundrect>
            </w:pict>
          </mc:Fallback>
        </mc:AlternateContent>
      </w:r>
    </w:p>
    <w:p w:rsidR="005B5D4F" w:rsidRPr="00931822" w:rsidRDefault="005B5D4F" w:rsidP="00931822">
      <w:pPr>
        <w:spacing w:after="0" w:line="240" w:lineRule="auto"/>
        <w:rPr>
          <w:rFonts w:ascii="Tahoma" w:eastAsia="Times New Roman" w:hAnsi="Tahoma" w:cs="Tahoma"/>
          <w:b/>
          <w:bCs/>
          <w:color w:val="FFFFFF" w:themeColor="background1"/>
          <w:sz w:val="24"/>
          <w:szCs w:val="16"/>
          <w:lang w:eastAsia="es-ES"/>
        </w:rPr>
      </w:pPr>
      <w:r w:rsidRPr="00931822">
        <w:rPr>
          <w:rFonts w:ascii="Tahoma" w:eastAsia="Times New Roman" w:hAnsi="Tahoma" w:cs="Tahoma"/>
          <w:b/>
          <w:bCs/>
          <w:color w:val="FFFFFF" w:themeColor="background1"/>
          <w:sz w:val="24"/>
          <w:szCs w:val="16"/>
          <w:lang w:eastAsia="es-ES"/>
        </w:rPr>
        <w:t>COMITÉ DE COMERCIO EXTERIOR: </w:t>
      </w:r>
    </w:p>
    <w:p w:rsidR="005B5D4F" w:rsidRDefault="005B5D4F" w:rsidP="00931822">
      <w:pPr>
        <w:spacing w:after="0" w:line="240" w:lineRule="auto"/>
        <w:rPr>
          <w:rFonts w:ascii="Tahoma" w:hAnsi="Tahoma" w:cs="Tahoma"/>
          <w:b/>
          <w:bCs/>
          <w:color w:val="000000"/>
          <w:sz w:val="20"/>
          <w:szCs w:val="16"/>
          <w:shd w:val="clear" w:color="auto" w:fill="FFFFFF"/>
        </w:rPr>
      </w:pPr>
    </w:p>
    <w:p w:rsidR="005B5D4F" w:rsidRPr="00AD7D8C" w:rsidRDefault="005B5D4F" w:rsidP="00931822">
      <w:pPr>
        <w:pStyle w:val="Prrafodelista"/>
        <w:numPr>
          <w:ilvl w:val="0"/>
          <w:numId w:val="1"/>
        </w:numPr>
        <w:spacing w:after="0" w:line="240" w:lineRule="auto"/>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pPr>
      <w:r w:rsidRPr="00AD7D8C">
        <w:rPr>
          <w:rFonts w:ascii="Tahoma" w:hAnsi="Tahoma" w:cs="Tahoma"/>
          <w:b/>
          <w:bCs/>
          <w:color w:val="000000"/>
          <w:sz w:val="20"/>
          <w:szCs w:val="16"/>
          <w:shd w:val="clear" w:color="auto" w:fill="FFFFFF"/>
          <w14:shadow w14:blurRad="69850" w14:dist="43180" w14:dir="5400000" w14:sx="0" w14:sy="0" w14:kx="0" w14:ky="0" w14:algn="none">
            <w14:srgbClr w14:val="000000">
              <w14:alpha w14:val="35000"/>
            </w14:srgbClr>
          </w14:shadow>
          <w14:textOutline w14:w="952" w14:cap="flat" w14:cmpd="sng" w14:algn="ctr">
            <w14:noFill/>
            <w14:prstDash w14:val="solid"/>
            <w14:round/>
          </w14:textOutline>
          <w14:textFill>
            <w14:gradFill>
              <w14:gsLst>
                <w14:gs w14:pos="0">
                  <w14:schemeClr w14:val="accent6">
                    <w14:shade w14:val="20000"/>
                    <w14:satMod w14:val="200000"/>
                  </w14:schemeClr>
                </w14:gs>
                <w14:gs w14:pos="78000">
                  <w14:schemeClr w14:val="accent6">
                    <w14:tint w14:val="90000"/>
                    <w14:shade w14:val="89000"/>
                    <w14:satMod w14:val="220000"/>
                  </w14:schemeClr>
                </w14:gs>
                <w14:gs w14:pos="100000">
                  <w14:schemeClr w14:val="accent6">
                    <w14:tint w14:val="12000"/>
                    <w14:satMod w14:val="255000"/>
                  </w14:schemeClr>
                </w14:gs>
              </w14:gsLst>
              <w14:lin w14:ang="5400000" w14:scaled="0"/>
            </w14:gradFill>
          </w14:textFill>
        </w:rPr>
        <w:t>Suplemento Registro Oficial No. 666, Lunes 11 de Enero de 2016</w:t>
      </w:r>
    </w:p>
    <w:p w:rsidR="005B5D4F" w:rsidRPr="00634277" w:rsidRDefault="005B5D4F" w:rsidP="005B5D4F">
      <w:pPr>
        <w:shd w:val="clear" w:color="auto" w:fill="FFFFFF"/>
        <w:spacing w:after="0" w:line="240" w:lineRule="auto"/>
        <w:jc w:val="center"/>
        <w:rPr>
          <w:rFonts w:ascii="Tahoma" w:eastAsia="Times New Roman" w:hAnsi="Tahoma" w:cs="Tahoma"/>
          <w:b/>
          <w:bCs/>
          <w:color w:val="000000"/>
          <w:sz w:val="8"/>
          <w:szCs w:val="16"/>
          <w:lang w:eastAsia="es-ES"/>
        </w:rPr>
      </w:pPr>
    </w:p>
    <w:p w:rsidR="005B5D4F" w:rsidRDefault="005B5D4F" w:rsidP="005B5D4F">
      <w:pPr>
        <w:shd w:val="clear" w:color="auto" w:fill="FFFFFF"/>
        <w:spacing w:after="0" w:line="240" w:lineRule="auto"/>
        <w:jc w:val="center"/>
        <w:rPr>
          <w:rFonts w:ascii="Tahoma" w:eastAsia="Times New Roman" w:hAnsi="Tahoma" w:cs="Tahoma"/>
          <w:b/>
          <w:bCs/>
          <w:color w:val="000000"/>
          <w:sz w:val="16"/>
          <w:szCs w:val="16"/>
          <w:lang w:eastAsia="es-ES"/>
        </w:rPr>
      </w:pPr>
    </w:p>
    <w:p w:rsidR="005B5D4F" w:rsidRPr="003D737D" w:rsidRDefault="005B5D4F" w:rsidP="005B5D4F">
      <w:pPr>
        <w:pStyle w:val="Prrafodelista"/>
        <w:numPr>
          <w:ilvl w:val="0"/>
          <w:numId w:val="2"/>
        </w:numPr>
        <w:spacing w:after="0" w:line="240" w:lineRule="auto"/>
        <w:jc w:val="both"/>
        <w:rPr>
          <w:rFonts w:ascii="Tahoma" w:eastAsia="Times New Roman" w:hAnsi="Tahoma" w:cs="Tahoma"/>
          <w:color w:val="000000"/>
          <w:sz w:val="16"/>
          <w:szCs w:val="16"/>
          <w:shd w:val="clear" w:color="auto" w:fill="FFFFFF"/>
          <w:lang w:eastAsia="es-ES"/>
        </w:rPr>
      </w:pPr>
      <w:r w:rsidRPr="003D737D">
        <w:rPr>
          <w:rFonts w:ascii="Tahoma" w:eastAsia="Times New Roman" w:hAnsi="Tahoma" w:cs="Tahoma"/>
          <w:b/>
          <w:color w:val="0070C0"/>
          <w:sz w:val="16"/>
          <w:szCs w:val="16"/>
          <w:shd w:val="clear" w:color="auto" w:fill="FFFFFF"/>
          <w:lang w:eastAsia="es-ES"/>
        </w:rPr>
        <w:t xml:space="preserve">Resolución </w:t>
      </w:r>
      <w:hyperlink r:id="rId22" w:history="1">
        <w:r w:rsidRPr="003D737D">
          <w:rPr>
            <w:rFonts w:ascii="Tahoma" w:eastAsia="Times New Roman" w:hAnsi="Tahoma" w:cs="Tahoma"/>
            <w:b/>
            <w:color w:val="0070C0"/>
            <w:sz w:val="16"/>
            <w:szCs w:val="16"/>
            <w:shd w:val="clear" w:color="auto" w:fill="FFFFFF"/>
            <w:lang w:eastAsia="es-ES"/>
          </w:rPr>
          <w:t>048-2015</w:t>
        </w:r>
      </w:hyperlink>
      <w:r w:rsidRPr="003D737D">
        <w:rPr>
          <w:rFonts w:ascii="Tahoma" w:eastAsia="Times New Roman" w:hAnsi="Tahoma" w:cs="Tahoma"/>
          <w:color w:val="0070C0"/>
          <w:sz w:val="16"/>
          <w:szCs w:val="16"/>
          <w:shd w:val="clear" w:color="auto" w:fill="FFFFFF"/>
          <w:lang w:eastAsia="es-ES"/>
        </w:rPr>
        <w:t xml:space="preserve">: </w:t>
      </w:r>
      <w:proofErr w:type="spellStart"/>
      <w:r w:rsidRPr="003D737D">
        <w:rPr>
          <w:rFonts w:ascii="Tahoma" w:eastAsia="Times New Roman" w:hAnsi="Tahoma" w:cs="Tahoma"/>
          <w:color w:val="000000"/>
          <w:sz w:val="16"/>
          <w:szCs w:val="16"/>
          <w:shd w:val="clear" w:color="auto" w:fill="FFFFFF"/>
          <w:lang w:eastAsia="es-ES"/>
        </w:rPr>
        <w:t>Difiérese</w:t>
      </w:r>
      <w:proofErr w:type="spellEnd"/>
      <w:r w:rsidRPr="003D737D">
        <w:rPr>
          <w:rFonts w:ascii="Tahoma" w:eastAsia="Times New Roman" w:hAnsi="Tahoma" w:cs="Tahoma"/>
          <w:color w:val="000000"/>
          <w:sz w:val="16"/>
          <w:szCs w:val="16"/>
          <w:shd w:val="clear" w:color="auto" w:fill="FFFFFF"/>
          <w:lang w:eastAsia="es-ES"/>
        </w:rPr>
        <w:t xml:space="preserve"> al 0%, hasta el 12 de junio de 2016, la aplicación de las tarifas arancelarias y adicionalmente excluir de la aplicación de recargos arancelarios a las importaciones de bienes tributables que realicen los comerciantes domiciliados en la provincia de Sucumbíos contribuyentes activos bajo el régimen transfronterizo.</w:t>
      </w:r>
    </w:p>
    <w:p w:rsidR="005B5D4F" w:rsidRPr="00634277" w:rsidRDefault="005B5D4F" w:rsidP="005B5D4F">
      <w:pPr>
        <w:spacing w:after="0" w:line="240" w:lineRule="auto"/>
        <w:rPr>
          <w:rFonts w:ascii="Tahoma" w:eastAsia="Times New Roman" w:hAnsi="Tahoma" w:cs="Tahoma"/>
          <w:color w:val="000000"/>
          <w:sz w:val="16"/>
          <w:szCs w:val="16"/>
          <w:shd w:val="clear" w:color="auto" w:fill="FFFFFF"/>
          <w:lang w:eastAsia="es-ES"/>
        </w:rPr>
      </w:pPr>
    </w:p>
    <w:p w:rsidR="004C4C63" w:rsidRDefault="004C4C63" w:rsidP="005B5D4F">
      <w:pPr>
        <w:shd w:val="clear" w:color="auto" w:fill="FFFFFF"/>
        <w:spacing w:after="0" w:line="240" w:lineRule="auto"/>
        <w:ind w:left="360"/>
        <w:jc w:val="center"/>
        <w:rPr>
          <w:rFonts w:ascii="Tahoma" w:eastAsia="Times New Roman" w:hAnsi="Tahoma" w:cs="Tahoma"/>
          <w:b/>
          <w:bCs/>
          <w:sz w:val="16"/>
          <w:szCs w:val="16"/>
          <w:lang w:eastAsia="es-ES"/>
        </w:rPr>
        <w:sectPr w:rsidR="004C4C63" w:rsidSect="00A76978">
          <w:type w:val="continuous"/>
          <w:pgSz w:w="11906" w:h="16838"/>
          <w:pgMar w:top="1175" w:right="849" w:bottom="1276" w:left="1276" w:header="709" w:footer="708" w:gutter="0"/>
          <w:cols w:space="708"/>
          <w:docGrid w:linePitch="360"/>
        </w:sectPr>
      </w:pP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b/>
          <w:bCs/>
          <w:sz w:val="14"/>
          <w:szCs w:val="14"/>
          <w:lang w:eastAsia="es-ES"/>
        </w:rPr>
        <w:lastRenderedPageBreak/>
        <w:t>Artículo 1.- </w:t>
      </w:r>
      <w:r w:rsidRPr="00931822">
        <w:rPr>
          <w:rFonts w:ascii="Tahoma" w:eastAsia="Times New Roman" w:hAnsi="Tahoma" w:cs="Tahoma"/>
          <w:sz w:val="14"/>
          <w:szCs w:val="14"/>
          <w:lang w:eastAsia="es-ES"/>
        </w:rPr>
        <w:t xml:space="preserve">Diferir al 0%, hasta el 12 de junio de 2016, la aplicación de las tarifas arancelarias y adicionalmente excluir de la aplicación de recargos arancelarios a las importaciones de bienes tributables que realicen los comerciantes domiciliados en la provincia de Sucumbíos contribuyentes activos bajo el régimen transfronterizo, respecto de las </w:t>
      </w:r>
      <w:proofErr w:type="spellStart"/>
      <w:r w:rsidRPr="00931822">
        <w:rPr>
          <w:rFonts w:ascii="Tahoma" w:eastAsia="Times New Roman" w:hAnsi="Tahoma" w:cs="Tahoma"/>
          <w:sz w:val="14"/>
          <w:szCs w:val="14"/>
          <w:lang w:eastAsia="es-ES"/>
        </w:rPr>
        <w:t>subpartidas</w:t>
      </w:r>
      <w:proofErr w:type="spellEnd"/>
      <w:r w:rsidRPr="00931822">
        <w:rPr>
          <w:rFonts w:ascii="Tahoma" w:eastAsia="Times New Roman" w:hAnsi="Tahoma" w:cs="Tahoma"/>
          <w:sz w:val="14"/>
          <w:szCs w:val="14"/>
          <w:lang w:eastAsia="es-ES"/>
        </w:rPr>
        <w:t xml:space="preserve"> detalladas en el Anexo del presente instrumento.</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t>Para el efecto, la aplicación del diferimiento y la exclusión previstos en el párrafo anterior se realizará de conformidad con las cuotas de importación establecidas en el presente instrumento.</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r>
      <w:r w:rsidRPr="00931822">
        <w:rPr>
          <w:rFonts w:ascii="Tahoma" w:eastAsia="Times New Roman" w:hAnsi="Tahoma" w:cs="Tahoma"/>
          <w:b/>
          <w:bCs/>
          <w:sz w:val="14"/>
          <w:szCs w:val="14"/>
          <w:lang w:eastAsia="es-ES"/>
        </w:rPr>
        <w:t>Artículo 2.- </w:t>
      </w:r>
      <w:r w:rsidRPr="00931822">
        <w:rPr>
          <w:rFonts w:ascii="Tahoma" w:eastAsia="Times New Roman" w:hAnsi="Tahoma" w:cs="Tahoma"/>
          <w:sz w:val="14"/>
          <w:szCs w:val="14"/>
          <w:lang w:eastAsia="es-ES"/>
        </w:rPr>
        <w:t>Disponer al Servicio de Rentas Internas (SRI) que en el plazo de siete (7) días laborables a partir de la adopción de la presente Resolución, remita por una sola vez al Servicio Nacional de Aduana del Ecuador (SENAE) el listado correspondiente a los RUC y RISE de los comerciantes domiciliados en la provincia de Sucumbíos (contribuyentes activos) con fecha de corte hasta la adopción de la presente Resolución, quienes serán los beneficiarios de lo dispuesto en el artículo 1 del presente instrumento, conforme a la siguiente segmentación de ventas anuales registradas en el SRI dentro del período fiscal 2014:</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t>a) Segmento 1: Hasta USD$20.000;</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t>b) Segmento 2: Superior a USD$20.000 y hasta USD$160.000; y,</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t>c) Segmento 3: Superior a USD$160.000.</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lastRenderedPageBreak/>
        <w:br/>
        <w:t>Los comerciantes domiciliados en la provincia de Sucumbíos (contribuyentes activos) que registren ventas anuales en el 2014 por el valor de cero (0) USD pertenecerán al Segmento 1.</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r>
      <w:r w:rsidRPr="00931822">
        <w:rPr>
          <w:rFonts w:ascii="Tahoma" w:eastAsia="Times New Roman" w:hAnsi="Tahoma" w:cs="Tahoma"/>
          <w:b/>
          <w:bCs/>
          <w:sz w:val="14"/>
          <w:szCs w:val="14"/>
          <w:lang w:eastAsia="es-ES"/>
        </w:rPr>
        <w:t>Artículo 3.- </w:t>
      </w:r>
      <w:r w:rsidRPr="00931822">
        <w:rPr>
          <w:rFonts w:ascii="Tahoma" w:eastAsia="Times New Roman" w:hAnsi="Tahoma" w:cs="Tahoma"/>
          <w:sz w:val="14"/>
          <w:szCs w:val="14"/>
          <w:lang w:eastAsia="es-ES"/>
        </w:rPr>
        <w:t>Respecto a los comerciantes de la provincia de Sucumbíos (contribuyentes activos) cuyo listado será remitido por el SRI de conformidad con el artículo precedente, apruébese las cuotas de importación según el siguiente detalle:</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t>Cuota de importación hasta el 12 de junio de 2016:</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t>a) Segmento 1: Hasta USD 6.372,00 FOB</w:t>
      </w:r>
    </w:p>
    <w:p w:rsidR="004C4C63"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t>b) Segmento 2: Hasta USD 21.240,00 FOB</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t>c) Segmento 3: Hasta USD 25.488,00 FOB</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t>La cuota global de importación vigente hasta el 12 de junio de 2016 será de hasta USD 60.633.828. De la cuota total, el 10% ($6.063.382,80) será exclusivamente para importaciones de textiles y calzado acorde al detalle del Anexo.</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r>
      <w:r w:rsidRPr="00931822">
        <w:rPr>
          <w:rFonts w:ascii="Tahoma" w:eastAsia="Times New Roman" w:hAnsi="Tahoma" w:cs="Tahoma"/>
          <w:b/>
          <w:bCs/>
          <w:sz w:val="14"/>
          <w:szCs w:val="14"/>
          <w:lang w:eastAsia="es-ES"/>
        </w:rPr>
        <w:t>Artículo 4.- </w:t>
      </w:r>
      <w:r w:rsidRPr="00931822">
        <w:rPr>
          <w:rFonts w:ascii="Tahoma" w:eastAsia="Times New Roman" w:hAnsi="Tahoma" w:cs="Tahoma"/>
          <w:sz w:val="14"/>
          <w:szCs w:val="14"/>
          <w:lang w:eastAsia="es-ES"/>
        </w:rPr>
        <w:t xml:space="preserve">Las importaciones que se efectúen al amparo de la presente Resolución únicamente serán realizadas vía terrestre a través del punto de control aduanero localizado en el CEBAF de San Miguel, Provincia de Sucumbíos perteneciente a la jurisdicción del Distrito de </w:t>
      </w:r>
      <w:r w:rsidRPr="00931822">
        <w:rPr>
          <w:rFonts w:ascii="Tahoma" w:eastAsia="Times New Roman" w:hAnsi="Tahoma" w:cs="Tahoma"/>
          <w:sz w:val="14"/>
          <w:szCs w:val="14"/>
          <w:lang w:eastAsia="es-ES"/>
        </w:rPr>
        <w:lastRenderedPageBreak/>
        <w:t xml:space="preserve">Aduana de Quito bajo el régimen de excepción de tráfico transfronterizo, cuyos montos máximos corresponderán a las cuotas detalladas en el artículo 3 del presente instrumento, excluyéndose para su despacho la presentación de documentos de control previo respecto del listado de comerciantes del artículo 2 y de las </w:t>
      </w:r>
      <w:proofErr w:type="spellStart"/>
      <w:r w:rsidRPr="00931822">
        <w:rPr>
          <w:rFonts w:ascii="Tahoma" w:eastAsia="Times New Roman" w:hAnsi="Tahoma" w:cs="Tahoma"/>
          <w:sz w:val="14"/>
          <w:szCs w:val="14"/>
          <w:lang w:eastAsia="es-ES"/>
        </w:rPr>
        <w:t>subpartidas</w:t>
      </w:r>
      <w:proofErr w:type="spellEnd"/>
      <w:r w:rsidRPr="00931822">
        <w:rPr>
          <w:rFonts w:ascii="Tahoma" w:eastAsia="Times New Roman" w:hAnsi="Tahoma" w:cs="Tahoma"/>
          <w:sz w:val="14"/>
          <w:szCs w:val="14"/>
          <w:lang w:eastAsia="es-ES"/>
        </w:rPr>
        <w:t xml:space="preserve"> detalladas en el Anexo de la presente Resolución.</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r>
      <w:r w:rsidRPr="00931822">
        <w:rPr>
          <w:rFonts w:ascii="Tahoma" w:eastAsia="Times New Roman" w:hAnsi="Tahoma" w:cs="Tahoma"/>
          <w:b/>
          <w:bCs/>
          <w:sz w:val="14"/>
          <w:szCs w:val="14"/>
          <w:lang w:eastAsia="es-ES"/>
        </w:rPr>
        <w:t>Artículo 5.- </w:t>
      </w:r>
      <w:r w:rsidRPr="00931822">
        <w:rPr>
          <w:rFonts w:ascii="Tahoma" w:eastAsia="Times New Roman" w:hAnsi="Tahoma" w:cs="Tahoma"/>
          <w:sz w:val="14"/>
          <w:szCs w:val="14"/>
          <w:lang w:eastAsia="es-ES"/>
        </w:rPr>
        <w:t>Las mercancías importadas al amparo de la presente Resolución deberán ser vendidas al consumidor final únicamente en la provincia de Sucumbíos.</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r>
      <w:r w:rsidRPr="00931822">
        <w:rPr>
          <w:rFonts w:ascii="Tahoma" w:eastAsia="Times New Roman" w:hAnsi="Tahoma" w:cs="Tahoma"/>
          <w:b/>
          <w:bCs/>
          <w:sz w:val="14"/>
          <w:szCs w:val="14"/>
          <w:lang w:eastAsia="es-ES"/>
        </w:rPr>
        <w:t>Artículo 6.- </w:t>
      </w:r>
      <w:r w:rsidRPr="00931822">
        <w:rPr>
          <w:rFonts w:ascii="Tahoma" w:eastAsia="Times New Roman" w:hAnsi="Tahoma" w:cs="Tahoma"/>
          <w:sz w:val="14"/>
          <w:szCs w:val="14"/>
          <w:lang w:eastAsia="es-ES"/>
        </w:rPr>
        <w:t>Se permitirá que varios beneficiarios puedan presentar una sola factura como documento de soporte para despacho individual de bienes tributables al amparo de lo dispuesto en el presente instrumento.</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p>
    <w:p w:rsidR="005B5D4F" w:rsidRPr="00931822" w:rsidRDefault="005B5D4F" w:rsidP="004C4C63">
      <w:pPr>
        <w:spacing w:after="0" w:line="240" w:lineRule="auto"/>
        <w:ind w:left="142"/>
        <w:jc w:val="both"/>
        <w:rPr>
          <w:rFonts w:ascii="Tahoma" w:eastAsia="Times New Roman" w:hAnsi="Tahoma" w:cs="Tahoma"/>
          <w:b/>
          <w:bCs/>
          <w:sz w:val="14"/>
          <w:szCs w:val="14"/>
          <w:lang w:eastAsia="es-ES"/>
        </w:rPr>
      </w:pPr>
      <w:r w:rsidRPr="00931822">
        <w:rPr>
          <w:rFonts w:ascii="Tahoma" w:eastAsia="Times New Roman" w:hAnsi="Tahoma" w:cs="Tahoma"/>
          <w:b/>
          <w:bCs/>
          <w:sz w:val="14"/>
          <w:szCs w:val="14"/>
          <w:lang w:eastAsia="es-ES"/>
        </w:rPr>
        <w:t>DISPOSICIONES GENERALES </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b/>
          <w:bCs/>
          <w:sz w:val="14"/>
          <w:szCs w:val="14"/>
          <w:lang w:eastAsia="es-ES"/>
        </w:rPr>
        <w:t>ÚNICA.- </w:t>
      </w:r>
      <w:r w:rsidRPr="00931822">
        <w:rPr>
          <w:rFonts w:ascii="Tahoma" w:eastAsia="Times New Roman" w:hAnsi="Tahoma" w:cs="Tahoma"/>
          <w:sz w:val="14"/>
          <w:szCs w:val="14"/>
          <w:lang w:eastAsia="es-ES"/>
        </w:rPr>
        <w:t>El SENAE enviará al COMEX un informe mensual sobre la utilización de las cuotas establecidas en el artículo 3 de esta Resolución.</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p>
    <w:p w:rsidR="005B5D4F" w:rsidRPr="00931822" w:rsidRDefault="005B5D4F" w:rsidP="004C4C63">
      <w:pPr>
        <w:spacing w:after="0" w:line="240" w:lineRule="auto"/>
        <w:ind w:left="142"/>
        <w:jc w:val="both"/>
        <w:rPr>
          <w:rFonts w:ascii="Tahoma" w:eastAsia="Times New Roman" w:hAnsi="Tahoma" w:cs="Tahoma"/>
          <w:b/>
          <w:bCs/>
          <w:sz w:val="14"/>
          <w:szCs w:val="14"/>
          <w:lang w:eastAsia="es-ES"/>
        </w:rPr>
      </w:pPr>
      <w:r w:rsidRPr="00931822">
        <w:rPr>
          <w:rFonts w:ascii="Tahoma" w:eastAsia="Times New Roman" w:hAnsi="Tahoma" w:cs="Tahoma"/>
          <w:b/>
          <w:bCs/>
          <w:sz w:val="14"/>
          <w:szCs w:val="14"/>
          <w:lang w:eastAsia="es-ES"/>
        </w:rPr>
        <w:t>DISPOSICIÓN FINAL </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t>La Secretaría Técnica del COMEX remitirá esta resolución al Registro Oficial para su publicación.</w:t>
      </w:r>
    </w:p>
    <w:p w:rsidR="005B5D4F" w:rsidRPr="00931822" w:rsidRDefault="005B5D4F" w:rsidP="004C4C63">
      <w:pPr>
        <w:spacing w:after="0" w:line="240" w:lineRule="auto"/>
        <w:ind w:left="142"/>
        <w:jc w:val="both"/>
        <w:rPr>
          <w:rFonts w:ascii="Tahoma" w:eastAsia="Times New Roman" w:hAnsi="Tahoma" w:cs="Tahoma"/>
          <w:sz w:val="14"/>
          <w:szCs w:val="14"/>
          <w:lang w:eastAsia="es-ES"/>
        </w:rPr>
      </w:pPr>
      <w:r w:rsidRPr="00931822">
        <w:rPr>
          <w:rFonts w:ascii="Tahoma" w:eastAsia="Times New Roman" w:hAnsi="Tahoma" w:cs="Tahoma"/>
          <w:sz w:val="14"/>
          <w:szCs w:val="14"/>
          <w:lang w:eastAsia="es-ES"/>
        </w:rPr>
        <w:br/>
        <w:t>Esta Resolución fue adoptada en sesión del 24 de diciembre de 2015 y entrará en vigencia a partir del 11 de enero de 2016, sin perjuicio de su publicación en el Registro Oficial.</w:t>
      </w:r>
    </w:p>
    <w:p w:rsidR="004C4C63" w:rsidRDefault="00995589" w:rsidP="005B5D4F">
      <w:pPr>
        <w:spacing w:after="0" w:line="240" w:lineRule="auto"/>
        <w:ind w:left="360"/>
        <w:jc w:val="center"/>
        <w:rPr>
          <w:rFonts w:ascii="Tahoma" w:eastAsia="Times New Roman" w:hAnsi="Tahoma" w:cs="Tahoma"/>
          <w:sz w:val="14"/>
          <w:szCs w:val="16"/>
          <w:lang w:eastAsia="es-ES"/>
        </w:rPr>
      </w:pPr>
      <w:r w:rsidRPr="00995589">
        <w:rPr>
          <w:rFonts w:ascii="Tahoma" w:eastAsia="Times New Roman" w:hAnsi="Tahoma" w:cs="Tahoma"/>
          <w:sz w:val="14"/>
          <w:szCs w:val="16"/>
          <w:lang w:eastAsia="es-ES"/>
        </w:rPr>
        <w:t>……………………………………………</w:t>
      </w:r>
    </w:p>
    <w:p w:rsidR="00995589" w:rsidRPr="00995589" w:rsidRDefault="00995589" w:rsidP="005B5D4F">
      <w:pPr>
        <w:spacing w:after="0" w:line="240" w:lineRule="auto"/>
        <w:ind w:left="360"/>
        <w:jc w:val="center"/>
        <w:rPr>
          <w:rFonts w:ascii="Tahoma" w:eastAsia="Times New Roman" w:hAnsi="Tahoma" w:cs="Tahoma"/>
          <w:sz w:val="14"/>
          <w:szCs w:val="16"/>
          <w:lang w:eastAsia="es-ES"/>
        </w:rPr>
      </w:pPr>
    </w:p>
    <w:p w:rsidR="004C4C63" w:rsidRDefault="00995589" w:rsidP="00995589">
      <w:pPr>
        <w:spacing w:after="0" w:line="240" w:lineRule="auto"/>
        <w:jc w:val="both"/>
        <w:rPr>
          <w:rFonts w:ascii="Tahoma" w:eastAsia="Times New Roman" w:hAnsi="Tahoma" w:cs="Tahoma"/>
          <w:sz w:val="16"/>
          <w:szCs w:val="16"/>
          <w:lang w:eastAsia="es-ES"/>
        </w:rPr>
        <w:sectPr w:rsidR="004C4C63" w:rsidSect="004C4C63">
          <w:type w:val="continuous"/>
          <w:pgSz w:w="11906" w:h="16838"/>
          <w:pgMar w:top="1175" w:right="849" w:bottom="1276" w:left="1276" w:header="709" w:footer="708" w:gutter="0"/>
          <w:cols w:num="2" w:space="708"/>
          <w:docGrid w:linePitch="360"/>
        </w:sectPr>
      </w:pPr>
      <w:r w:rsidRPr="00995589">
        <w:rPr>
          <w:rFonts w:ascii="Tahoma" w:eastAsia="Times New Roman" w:hAnsi="Tahoma" w:cs="Tahoma"/>
          <w:i/>
          <w:sz w:val="14"/>
          <w:szCs w:val="16"/>
          <w:lang w:eastAsia="es-ES"/>
        </w:rPr>
        <w:t>(</w:t>
      </w:r>
      <w:r w:rsidRPr="00995589">
        <w:rPr>
          <w:rFonts w:ascii="Tahoma" w:eastAsia="Times New Roman" w:hAnsi="Tahoma" w:cs="Tahoma"/>
          <w:b/>
          <w:i/>
          <w:sz w:val="14"/>
          <w:szCs w:val="16"/>
          <w:lang w:eastAsia="es-ES"/>
        </w:rPr>
        <w:t xml:space="preserve">Nota: </w:t>
      </w:r>
      <w:r w:rsidRPr="00995589">
        <w:rPr>
          <w:rFonts w:ascii="Tahoma" w:eastAsia="Times New Roman" w:hAnsi="Tahoma" w:cs="Tahoma"/>
          <w:i/>
          <w:sz w:val="14"/>
          <w:szCs w:val="16"/>
          <w:lang w:eastAsia="es-ES"/>
        </w:rPr>
        <w:t xml:space="preserve">En caso de requerir el anexo donde se enlista la mercancía considerada en esta resolución favor solicitar el registro oficial completo) </w:t>
      </w:r>
    </w:p>
    <w:p w:rsidR="004C4C63" w:rsidRDefault="004C4C63" w:rsidP="005B5D4F">
      <w:pPr>
        <w:spacing w:after="0" w:line="240" w:lineRule="auto"/>
        <w:ind w:left="360"/>
        <w:jc w:val="center"/>
        <w:rPr>
          <w:rFonts w:ascii="Tahoma" w:eastAsia="Times New Roman" w:hAnsi="Tahoma" w:cs="Tahoma"/>
          <w:sz w:val="16"/>
          <w:szCs w:val="16"/>
          <w:lang w:eastAsia="es-ES"/>
        </w:rPr>
      </w:pPr>
    </w:p>
    <w:sectPr w:rsidR="004C4C63" w:rsidSect="00A76978">
      <w:type w:val="continuous"/>
      <w:pgSz w:w="11906" w:h="16838"/>
      <w:pgMar w:top="1175" w:right="849" w:bottom="1276" w:left="1276" w:header="709"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4367" w:rsidRDefault="008F4367" w:rsidP="00FA7C89">
      <w:pPr>
        <w:spacing w:after="0" w:line="240" w:lineRule="auto"/>
      </w:pPr>
      <w:r>
        <w:separator/>
      </w:r>
    </w:p>
  </w:endnote>
  <w:endnote w:type="continuationSeparator" w:id="0">
    <w:p w:rsidR="008F4367" w:rsidRDefault="008F4367" w:rsidP="00FA7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no Pro Display">
    <w:altName w:val="Times New Roman"/>
    <w:panose1 w:val="00000000000000000000"/>
    <w:charset w:val="00"/>
    <w:family w:val="roman"/>
    <w:notTrueType/>
    <w:pitch w:val="variable"/>
    <w:sig w:usb0="00000001"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5150" w:rsidRDefault="00A75150">
    <w:pPr>
      <w:pStyle w:val="Piedepgina"/>
    </w:pPr>
    <w:r>
      <w:rPr>
        <w:noProof/>
        <w:lang w:val="es-EC" w:eastAsia="es-EC"/>
      </w:rPr>
      <mc:AlternateContent>
        <mc:Choice Requires="wps">
          <w:drawing>
            <wp:anchor distT="0" distB="0" distL="114300" distR="114300" simplePos="0" relativeHeight="251660288" behindDoc="0" locked="0" layoutInCell="0" allowOverlap="1" wp14:anchorId="18AA773D" wp14:editId="5EAD27C4">
              <wp:simplePos x="0" y="0"/>
              <wp:positionH relativeFrom="rightMargin">
                <wp:align>center</wp:align>
              </wp:positionH>
              <wp:positionV relativeFrom="margin">
                <wp:align>bottom</wp:align>
              </wp:positionV>
              <wp:extent cx="511175" cy="6172200"/>
              <wp:effectExtent l="0" t="0" r="0" b="0"/>
              <wp:wrapNone/>
              <wp:docPr id="255" name="Rectangle 1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1175" cy="617220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53640926-AAD7-44D8-BBD7-CCE9431645EC}">
                          <a14:shadowObscured xmlns:a14="http://schemas.microsoft.com/office/drawing/2010/main" val="1"/>
                        </a:ext>
                      </a:extLst>
                    </wps:spPr>
                    <wps:txbx>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EndPr/>
                          <w:sdtContent>
                            <w:p w:rsidR="00A75150" w:rsidRPr="00A75150" w:rsidRDefault="00A75150">
                              <w:pPr>
                                <w:rPr>
                                  <w:color w:val="0070C0"/>
                                  <w:spacing w:val="60"/>
                                </w:rPr>
                              </w:pPr>
                              <w:r w:rsidRPr="00A75150">
                                <w:rPr>
                                  <w:color w:val="0070C0"/>
                                  <w:spacing w:val="60"/>
                                </w:rPr>
                                <w:t>Soluciones Contables y Tributarias</w:t>
                              </w:r>
                            </w:p>
                          </w:sdtContent>
                        </w:sdt>
                      </w:txbxContent>
                    </wps:txbx>
                    <wps:bodyPr rot="0" vert="vert270" wrap="square" lIns="91440" tIns="45720" rIns="91440" bIns="45720" anchor="ctr" anchorCtr="0" upright="1">
                      <a:spAutoFit/>
                    </wps:bodyPr>
                  </wps:wsp>
                </a:graphicData>
              </a:graphic>
              <wp14:sizeRelH relativeFrom="page">
                <wp14:pctWidth>0</wp14:pctWidth>
              </wp14:sizeRelH>
              <wp14:sizeRelV relativeFrom="margin">
                <wp14:pctHeight>75000</wp14:pctHeight>
              </wp14:sizeRelV>
            </wp:anchor>
          </w:drawing>
        </mc:Choice>
        <mc:Fallback>
          <w:pict>
            <v:rect id="Rectangle 173" o:spid="_x0000_s1028" style="position:absolute;margin-left:0;margin-top:0;width:40.25pt;height:486pt;z-index:251660288;visibility:visible;mso-wrap-style:square;mso-width-percent:0;mso-height-percent:750;mso-wrap-distance-left:9pt;mso-wrap-distance-top:0;mso-wrap-distance-right:9pt;mso-wrap-distance-bottom:0;mso-position-horizontal:center;mso-position-horizontal-relative:right-margin-area;mso-position-vertical:bottom;mso-position-vertical-relative:margin;mso-width-percent:0;mso-height-percent:75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" o:allowincell="f" filled="f" stroked="f">
              <v:textbox style="layout-flow:vertical;mso-layout-flow-alt:bottom-to-top;mso-fit-shape-to-text:t">
                <w:txbxContent>
                  <w:sdt>
                    <w:sdtPr>
                      <w:rPr>
                        <w:color w:val="0070C0"/>
                        <w:spacing w:val="60"/>
                      </w:rPr>
                      <w:alias w:val="Date"/>
                      <w:id w:val="-1274095822"/>
                      <w:dataBinding w:prefixMappings="xmlns:ns0='http://schemas.microsoft.com/office/2006/coverPageProps'" w:xpath="/ns0:CoverPageProperties[1]/ns0:PublishDate[1]" w:storeItemID="{55AF091B-3C7A-41E3-B477-F2FDAA23CFDA}"/>
                      <w:date>
                        <w:dateFormat w:val="MMMM d, yyyy"/>
                        <w:lid w:val="en-US"/>
                        <w:storeMappedDataAs w:val="dateTime"/>
                        <w:calendar w:val="gregorian"/>
                      </w:date>
                    </w:sdtPr>
                    <w:sdtContent>
                      <w:p w:rsidR="00A75150" w:rsidRPr="00A75150" w:rsidRDefault="00A75150">
                        <w:pPr>
                          <w:rPr>
                            <w:color w:val="0070C0"/>
                            <w:spacing w:val="60"/>
                          </w:rPr>
                        </w:pPr>
                        <w:r w:rsidRPr="00A75150">
                          <w:rPr>
                            <w:color w:val="0070C0"/>
                            <w:spacing w:val="60"/>
                          </w:rPr>
                          <w:t>Soluciones Contables y Tributarias</w:t>
                        </w:r>
                      </w:p>
                    </w:sdtContent>
                  </w:sdt>
                </w:txbxContent>
              </v:textbox>
              <w10:wrap anchorx="margin" anchory="margin"/>
            </v:rect>
          </w:pict>
        </mc:Fallback>
      </mc:AlternateContent>
    </w:r>
    <w:r>
      <w:rPr>
        <w:noProof/>
        <w:lang w:val="es-EC" w:eastAsia="es-EC"/>
      </w:rPr>
      <mc:AlternateContent>
        <mc:Choice Requires="wpg">
          <w:drawing>
            <wp:anchor distT="0" distB="0" distL="114300" distR="114300" simplePos="0" relativeHeight="251659264" behindDoc="0" locked="0" layoutInCell="0" allowOverlap="1" wp14:anchorId="33DB646B" wp14:editId="02A82B06">
              <wp:simplePos x="0" y="0"/>
              <wp:positionH relativeFrom="rightMargin">
                <wp:align>center</wp:align>
              </wp:positionH>
              <wp:positionV relativeFrom="bottomMargin">
                <wp:align>center</wp:align>
              </wp:positionV>
              <wp:extent cx="457200" cy="301752"/>
              <wp:effectExtent l="1587" t="0" r="1588" b="1587"/>
              <wp:wrapNone/>
              <wp:docPr id="251"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5400000">
                        <a:off x="0" y="0"/>
                        <a:ext cx="457200" cy="301752"/>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52"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3"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4"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0;margin-top:0;width:36pt;height:23.75pt;rotation:90;z-index:251659264;mso-position-horizontal:center;mso-position-horizontal-relative:right-margin-area;mso-position-vertical:center;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8tXpMYA&#10;AADcAAAADwAAAGRycy9kb3ducmV2LnhtbESPQWvCQBSE7wX/w/KEXkQ3TWmRNBsRacWLiFqkx0f2&#10;NQnNvg27G4399W5B6HGYmW+YfDGYVpzJ+caygqdZAoK4tLrhSsHn8WM6B+EDssbWMim4kodFMXrI&#10;MdP2wns6H0IlIoR9hgrqELpMSl/WZNDPbEccvW/rDIYoXSW1w0uEm1amSfIqDTYcF2rsaFVT+XPo&#10;jYL+6r/6frv+fd/t/OT47E7paTBKPY6H5RuIQEP4D9/bG60gfUnh70w8ArK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8tXpMYAAADcAAAADwAAAAAAAAAAAAAAAACYAgAAZHJz&#10;L2Rvd25yZXYueG1sUEsFBgAAAAAEAAQA9QAAAIsDA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u/SMQA&#10;AADcAAAADwAAAGRycy9kb3ducmV2LnhtbESPwWrDMBBE74X+g9hCb43slIbiRAmhkGDaS+L0AxZr&#10;Y5lYK9VSYvvvq0Ihx2Fm3jCrzWg7caM+tI4V5LMMBHHtdMuNgu/T7uUdRIjIGjvHpGCiAJv148MK&#10;C+0GPtKtio1IEA4FKjAx+kLKUBuyGGbOEyfv7HqLMcm+kbrHIcFtJ+dZtpAWW04LBj19GKov1dUq&#10;8J+7fP81VPV1Ovhm/DFlvp9KpZ6fxu0SRKQx3sP/7VIrmL+9wt+ZdAT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Erv0jEAAAA3AAAAA8AAAAAAAAAAAAAAAAAmAIAAGRycy9k&#10;b3ducmV2LnhtbFBLBQYAAAAABAAEAPUAAACJAw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1mcMYA&#10;AADcAAAADwAAAGRycy9kb3ducmV2LnhtbESPQWvCQBSE74X+h+UJvRTdGK1odJVSKAgWqdGD3h7Z&#10;Z5KafRt2V03/fbdQ6HGYmW+YxaozjbiR87VlBcNBAoK4sLrmUsFh/96fgvABWWNjmRR8k4fV8vFh&#10;gZm2d97RLQ+liBD2GSqoQmgzKX1RkUE/sC1x9M7WGQxRulJqh/cIN41Mk2QiDdYcFyps6a2i4pJf&#10;jYLx9uOkN6Pnr5TlKN+49BNnx1Kpp173OgcRqAv/4b/2WitIX8bweyYeAbn8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D1mcMYAAADcAAAADwAAAAAAAAAAAAAAAACYAgAAZHJz&#10;L2Rvd25yZXYueG1sUEsFBgAAAAAEAAQA9QAAAIsDAAAAAA==&#10;" adj="9730" filled="f" stroked="f" strokecolor="white"/>
              <w10:wrap anchorx="margin" anchory="margin"/>
            </v:group>
          </w:pict>
        </mc:Fallback>
      </mc:AlternateContent>
    </w:r>
  </w:p>
  <w:p w:rsidR="00A75150" w:rsidRDefault="00A75150">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4367" w:rsidRDefault="008F4367" w:rsidP="00FA7C89">
      <w:pPr>
        <w:spacing w:after="0" w:line="240" w:lineRule="auto"/>
      </w:pPr>
      <w:r>
        <w:separator/>
      </w:r>
    </w:p>
  </w:footnote>
  <w:footnote w:type="continuationSeparator" w:id="0">
    <w:p w:rsidR="008F4367" w:rsidRDefault="008F4367" w:rsidP="00FA7C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5295151"/>
      <w:docPartObj>
        <w:docPartGallery w:val="Page Numbers (Top of Page)"/>
        <w:docPartUnique/>
      </w:docPartObj>
    </w:sdtPr>
    <w:sdtEndPr>
      <w:rPr>
        <w:noProof/>
      </w:rPr>
    </w:sdtEndPr>
    <w:sdtContent>
      <w:p w:rsidR="00047711" w:rsidRDefault="00047711">
        <w:pPr>
          <w:pStyle w:val="Encabezado"/>
        </w:pPr>
        <w:r w:rsidRPr="00047711">
          <w:rPr>
            <w:noProof/>
            <w:color w:val="0070C0"/>
            <w:sz w:val="28"/>
            <w:lang w:val="es-EC" w:eastAsia="es-EC"/>
          </w:rPr>
          <mc:AlternateContent>
            <mc:Choice Requires="wpg">
              <w:drawing>
                <wp:anchor distT="0" distB="0" distL="114300" distR="114300" simplePos="0" relativeHeight="251662336" behindDoc="0" locked="0" layoutInCell="0" allowOverlap="1" wp14:anchorId="260D82DB" wp14:editId="6F61DEBA">
                  <wp:simplePos x="0" y="0"/>
                  <wp:positionH relativeFrom="rightMargin">
                    <wp:posOffset>-5961060</wp:posOffset>
                  </wp:positionH>
                  <wp:positionV relativeFrom="bottomMargin">
                    <wp:posOffset>-9378909</wp:posOffset>
                  </wp:positionV>
                  <wp:extent cx="457200" cy="301625"/>
                  <wp:effectExtent l="1587" t="0" r="1588" b="1587"/>
                  <wp:wrapNone/>
                  <wp:docPr id="22" name="Group 1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16200000" flipH="1">
                            <a:off x="0" y="0"/>
                            <a:ext cx="457200" cy="301625"/>
                            <a:chOff x="10217" y="9410"/>
                            <a:chExt cx="1566" cy="590"/>
                          </a:xfrm>
                          <a:gradFill flip="none" rotWithShape="1">
                            <a:gsLst>
                              <a:gs pos="0">
                                <a:schemeClr val="tx2">
                                  <a:lumMod val="60000"/>
                                  <a:lumOff val="40000"/>
                                  <a:shade val="30000"/>
                                  <a:satMod val="115000"/>
                                </a:schemeClr>
                              </a:gs>
                              <a:gs pos="50000">
                                <a:schemeClr val="tx2">
                                  <a:lumMod val="60000"/>
                                  <a:lumOff val="40000"/>
                                  <a:shade val="67500"/>
                                  <a:satMod val="115000"/>
                                </a:schemeClr>
                              </a:gs>
                              <a:gs pos="100000">
                                <a:schemeClr val="tx2">
                                  <a:lumMod val="60000"/>
                                  <a:lumOff val="40000"/>
                                  <a:shade val="100000"/>
                                  <a:satMod val="115000"/>
                                </a:schemeClr>
                              </a:gs>
                            </a:gsLst>
                            <a:lin ang="10800000" scaled="1"/>
                            <a:tileRect/>
                          </a:gradFill>
                        </wpg:grpSpPr>
                        <wps:wsp>
                          <wps:cNvPr id="23" name="AutoShape 170"/>
                          <wps:cNvSpPr>
                            <a:spLocks noChangeArrowheads="1"/>
                          </wps:cNvSpPr>
                          <wps:spPr bwMode="auto">
                            <a:xfrm>
                              <a:off x="11101" y="9410"/>
                              <a:ext cx="682" cy="590"/>
                            </a:xfrm>
                            <a:prstGeom prst="chevron">
                              <a:avLst>
                                <a:gd name="adj" fmla="val 5981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4" name="AutoShape 171"/>
                          <wps:cNvSpPr>
                            <a:spLocks noChangeArrowheads="1"/>
                          </wps:cNvSpPr>
                          <wps:spPr bwMode="auto">
                            <a:xfrm>
                              <a:off x="10659" y="9410"/>
                              <a:ext cx="682" cy="590"/>
                            </a:xfrm>
                            <a:prstGeom prst="chevron">
                              <a:avLst>
                                <a:gd name="adj" fmla="val 61666"/>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s:wsp>
                          <wps:cNvPr id="25" name="AutoShape 172"/>
                          <wps:cNvSpPr>
                            <a:spLocks noChangeArrowheads="1"/>
                          </wps:cNvSpPr>
                          <wps:spPr bwMode="auto">
                            <a:xfrm>
                              <a:off x="10217" y="9410"/>
                              <a:ext cx="682" cy="590"/>
                            </a:xfrm>
                            <a:prstGeom prst="chevron">
                              <a:avLst>
                                <a:gd name="adj" fmla="val 63521"/>
                              </a:avLst>
                            </a:prstGeom>
                            <a:grpFill/>
                            <a:extLst>
                              <a:ext uri="{91240B29-F687-4F45-9708-019B960494DF}">
                                <a14:hiddenLine xmlns:a14="http://schemas.microsoft.com/office/drawing/2010/main" w="9525">
                                  <a:solidFill>
                                    <a:srgbClr val="FFFFFF"/>
                                  </a:solidFill>
                                  <a:miter lim="800000"/>
                                  <a:headEnd/>
                                  <a:tailEnd/>
                                </a14:hiddenLine>
                              </a:ext>
                              <a:ext uri="{53640926-AAD7-44D8-BBD7-CCE9431645EC}">
                                <a14:shadowObscured xmlns:a14="http://schemas.microsoft.com/office/drawing/2010/main" val="1"/>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69" o:spid="_x0000_s1026" style="position:absolute;margin-left:-469.35pt;margin-top:-738.5pt;width:36pt;height:23.75pt;rotation:90;flip:x;z-index:251662336;mso-position-horizontal-relative:right-margin-area;mso-position-vertical-relative:bottom-margin-area" coordorigin="10217,9410" coordsize="1566,5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" o:allowincell="f">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AutoShape 170" o:spid="_x0000_s1027" type="#_x0000_t55" style="position:absolute;left:11101;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wyAsQA&#10;AADbAAAADwAAAGRycy9kb3ducmV2LnhtbESPQWvCQBSE70L/w/IKvYhujCAlukoptXgR0RTx+Mg+&#10;k9Ds27C70eivdwsFj8PMfMMsVr1pxIWcry0rmIwTEMSF1TWXCn7y9egdhA/IGhvLpOBGHlbLl8EC&#10;M22vvKfLIZQiQthnqKAKoc2k9EVFBv3YtsTRO1tnMETpSqkdXiPcNDJNkpk0WHNcqLClz4qK30Nn&#10;FHQ3f+q67ff9a7fzw3zqjumxN0q9vfYfcxCB+vAM/7c3WkE6hb8v8QfI5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cMgLEAAAA2wAAAA8AAAAAAAAAAAAAAAAAmAIAAGRycy9k&#10;b3ducmV2LnhtbFBLBQYAAAAABAAEAPUAAACJAwAAAAA=&#10;" adj="10424" filled="f" stroked="f" strokecolor="white"/>
                  <v:shape id="AutoShape 171" o:spid="_x0000_s1028" type="#_x0000_t55" style="position:absolute;left:10659;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I2PMMA&#10;AADbAAAADwAAAGRycy9kb3ducmV2LnhtbESPUWvCMBSF3wf7D+EO9jbTioh0RpGBUtyLdvsBl+au&#10;KTY3WRNt+++XgeDj4ZzzHc56O9pO3KgPrWMF+SwDQVw73XKj4Ptr/7YCESKyxs4xKZgowHbz/LTG&#10;QruBz3SrYiMShEOBCkyMvpAy1IYshpnzxMn7cb3FmGTfSN3jkOC2k/MsW0qLLacFg54+DNWX6moV&#10;+OM+P3wOVX2dTr4Zf02ZH6ZSqdeXcfcOItIYH+F7u9QK5gv4/5J+gN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7I2PMMAAADbAAAADwAAAAAAAAAAAAAAAACYAgAAZHJzL2Rv&#10;d25yZXYueG1sUEsFBgAAAAAEAAQA9QAAAIgDAAAAAA==&#10;" adj="10077" filled="f" stroked="f" strokecolor="white"/>
                  <v:shape id="AutoShape 172" o:spid="_x0000_s1029" type="#_x0000_t55" style="position:absolute;left:10217;top:9410;width:682;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QZ8j8UA&#10;AADbAAAADwAAAGRycy9kb3ducmV2LnhtbESPQWvCQBSE74L/YXlCL0U3xlZs6ipSEAqK2OjB3h7Z&#10;1yRt9m3YXTX9926h4HGYmW+Y+bIzjbiQ87VlBeNRAoK4sLrmUsHxsB7OQPiArLGxTAp+ycNy0e/N&#10;MdP2yh90yUMpIoR9hgqqENpMSl9UZNCPbEscvS/rDIYoXSm1w2uEm0amSTKVBmuOCxW29FZR8ZOf&#10;jYKn3fZTbyaP3ynLSb5x6R5fTqVSD4Nu9QoiUBfu4f/2u1aQPsPfl/gD5O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RBnyPxQAAANsAAAAPAAAAAAAAAAAAAAAAAJgCAABkcnMv&#10;ZG93bnJldi54bWxQSwUGAAAAAAQABAD1AAAAigMAAAAA&#10;" adj="9730" filled="f" stroked="f" strokecolor="white"/>
                  <w10:wrap anchorx="margin" anchory="margin"/>
                </v:group>
              </w:pict>
            </mc:Fallback>
          </mc:AlternateContent>
        </w:r>
        <w:r w:rsidRPr="00047711">
          <w:rPr>
            <w:color w:val="0070C0"/>
            <w:sz w:val="28"/>
          </w:rPr>
          <w:fldChar w:fldCharType="begin"/>
        </w:r>
        <w:r w:rsidRPr="00047711">
          <w:rPr>
            <w:color w:val="0070C0"/>
            <w:sz w:val="28"/>
          </w:rPr>
          <w:instrText xml:space="preserve"> PAGE   \* MERGEFORMAT </w:instrText>
        </w:r>
        <w:r w:rsidRPr="00047711">
          <w:rPr>
            <w:color w:val="0070C0"/>
            <w:sz w:val="28"/>
          </w:rPr>
          <w:fldChar w:fldCharType="separate"/>
        </w:r>
        <w:r w:rsidR="00392B3F">
          <w:rPr>
            <w:noProof/>
            <w:color w:val="0070C0"/>
            <w:sz w:val="28"/>
          </w:rPr>
          <w:t>1</w:t>
        </w:r>
        <w:r w:rsidRPr="00047711">
          <w:rPr>
            <w:noProof/>
            <w:color w:val="0070C0"/>
            <w:sz w:val="28"/>
          </w:rPr>
          <w:fldChar w:fldCharType="end"/>
        </w:r>
        <w:r w:rsidRPr="00047711">
          <w:rPr>
            <w:noProof/>
            <w:color w:val="0070C0"/>
            <w:sz w:val="28"/>
          </w:rPr>
          <w:t xml:space="preserve">   </w:t>
        </w:r>
      </w:p>
    </w:sdtContent>
  </w:sdt>
  <w:p w:rsidR="00A75150" w:rsidRDefault="00A75150" w:rsidP="00047711">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9pt;height:9pt" o:bullet="t">
        <v:imagedata r:id="rId1" o:title="BD15059_"/>
      </v:shape>
    </w:pict>
  </w:numPicBullet>
  <w:abstractNum w:abstractNumId="0">
    <w:nsid w:val="07697F75"/>
    <w:multiLevelType w:val="hybridMultilevel"/>
    <w:tmpl w:val="F5D44EA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0A9B0FCC"/>
    <w:multiLevelType w:val="hybridMultilevel"/>
    <w:tmpl w:val="5F20A8A4"/>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nsid w:val="13722DC9"/>
    <w:multiLevelType w:val="hybridMultilevel"/>
    <w:tmpl w:val="817875F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1E491BA2"/>
    <w:multiLevelType w:val="hybridMultilevel"/>
    <w:tmpl w:val="B0206B32"/>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22DE4555"/>
    <w:multiLevelType w:val="hybridMultilevel"/>
    <w:tmpl w:val="0F50F04A"/>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nsid w:val="2AC17C1A"/>
    <w:multiLevelType w:val="hybridMultilevel"/>
    <w:tmpl w:val="9926D348"/>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33050AD8"/>
    <w:multiLevelType w:val="hybridMultilevel"/>
    <w:tmpl w:val="4D7E3A72"/>
    <w:lvl w:ilvl="0" w:tplc="D6D2CE22">
      <w:start w:val="1"/>
      <w:numFmt w:val="bullet"/>
      <w:lvlText w:val=""/>
      <w:lvlJc w:val="left"/>
      <w:pPr>
        <w:ind w:left="360" w:hanging="360"/>
      </w:pPr>
      <w:rPr>
        <w:rFonts w:ascii="Symbol" w:hAnsi="Symbol" w:hint="default"/>
        <w:color w:val="auto"/>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7">
    <w:nsid w:val="40F54847"/>
    <w:multiLevelType w:val="hybridMultilevel"/>
    <w:tmpl w:val="298AE66E"/>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nsid w:val="440A79AB"/>
    <w:multiLevelType w:val="hybridMultilevel"/>
    <w:tmpl w:val="B25036A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E5E2AFC"/>
    <w:multiLevelType w:val="hybridMultilevel"/>
    <w:tmpl w:val="7DA46EE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6BA97BED"/>
    <w:multiLevelType w:val="hybridMultilevel"/>
    <w:tmpl w:val="1A2A396E"/>
    <w:lvl w:ilvl="0" w:tplc="D6D2CE22">
      <w:start w:val="1"/>
      <w:numFmt w:val="bullet"/>
      <w:lvlText w:val=""/>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nsid w:val="6BE322ED"/>
    <w:multiLevelType w:val="hybridMultilevel"/>
    <w:tmpl w:val="3F3AF7D0"/>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762D6CF0"/>
    <w:multiLevelType w:val="hybridMultilevel"/>
    <w:tmpl w:val="02D055C6"/>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nsid w:val="7C3C6D02"/>
    <w:multiLevelType w:val="hybridMultilevel"/>
    <w:tmpl w:val="66425138"/>
    <w:lvl w:ilvl="0" w:tplc="6EDA0EC2">
      <w:start w:val="1"/>
      <w:numFmt w:val="bullet"/>
      <w:lvlText w:val=""/>
      <w:lvlPicBulletId w:val="0"/>
      <w:lvlJc w:val="left"/>
      <w:pPr>
        <w:ind w:left="720" w:hanging="360"/>
      </w:pPr>
      <w:rPr>
        <w:rFonts w:ascii="Symbol" w:hAnsi="Symbol"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9"/>
  </w:num>
  <w:num w:numId="4">
    <w:abstractNumId w:val="2"/>
  </w:num>
  <w:num w:numId="5">
    <w:abstractNumId w:val="4"/>
  </w:num>
  <w:num w:numId="6">
    <w:abstractNumId w:val="10"/>
  </w:num>
  <w:num w:numId="7">
    <w:abstractNumId w:val="8"/>
  </w:num>
  <w:num w:numId="8">
    <w:abstractNumId w:val="5"/>
  </w:num>
  <w:num w:numId="9">
    <w:abstractNumId w:val="13"/>
  </w:num>
  <w:num w:numId="10">
    <w:abstractNumId w:val="7"/>
  </w:num>
  <w:num w:numId="11">
    <w:abstractNumId w:val="1"/>
  </w:num>
  <w:num w:numId="12">
    <w:abstractNumId w:val="11"/>
  </w:num>
  <w:num w:numId="13">
    <w:abstractNumId w:val="3"/>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2CFE"/>
    <w:rsid w:val="00047711"/>
    <w:rsid w:val="00153EF0"/>
    <w:rsid w:val="0018394A"/>
    <w:rsid w:val="00275878"/>
    <w:rsid w:val="00392B3F"/>
    <w:rsid w:val="003D737D"/>
    <w:rsid w:val="004038C7"/>
    <w:rsid w:val="00431533"/>
    <w:rsid w:val="004B386D"/>
    <w:rsid w:val="004C4C63"/>
    <w:rsid w:val="005850DF"/>
    <w:rsid w:val="005B5D4F"/>
    <w:rsid w:val="00634277"/>
    <w:rsid w:val="0079551E"/>
    <w:rsid w:val="007D58A7"/>
    <w:rsid w:val="008F4367"/>
    <w:rsid w:val="00931822"/>
    <w:rsid w:val="0098393D"/>
    <w:rsid w:val="00995589"/>
    <w:rsid w:val="009B6CA7"/>
    <w:rsid w:val="00A75150"/>
    <w:rsid w:val="00A76978"/>
    <w:rsid w:val="00AD7D8C"/>
    <w:rsid w:val="00BA09F5"/>
    <w:rsid w:val="00E262EE"/>
    <w:rsid w:val="00EC3B96"/>
    <w:rsid w:val="00EE2CFE"/>
    <w:rsid w:val="00FA7C8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semiHidden/>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pple-converted-space">
    <w:name w:val="apple-converted-space"/>
    <w:basedOn w:val="Fuentedeprrafopredeter"/>
    <w:rsid w:val="00EE2CFE"/>
  </w:style>
  <w:style w:type="character" w:styleId="Hipervnculo">
    <w:name w:val="Hyperlink"/>
    <w:basedOn w:val="Fuentedeprrafopredeter"/>
    <w:uiPriority w:val="99"/>
    <w:semiHidden/>
    <w:unhideWhenUsed/>
    <w:rsid w:val="00EE2CFE"/>
    <w:rPr>
      <w:color w:val="0000FF"/>
      <w:u w:val="single"/>
    </w:rPr>
  </w:style>
  <w:style w:type="paragraph" w:styleId="NormalWeb">
    <w:name w:val="Normal (Web)"/>
    <w:basedOn w:val="Normal"/>
    <w:uiPriority w:val="99"/>
    <w:semiHidden/>
    <w:unhideWhenUsed/>
    <w:rsid w:val="005850DF"/>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275878"/>
    <w:pPr>
      <w:ind w:left="720"/>
      <w:contextualSpacing/>
    </w:pPr>
  </w:style>
  <w:style w:type="paragraph" w:styleId="Encabezado">
    <w:name w:val="header"/>
    <w:basedOn w:val="Normal"/>
    <w:link w:val="EncabezadoCar"/>
    <w:uiPriority w:val="99"/>
    <w:unhideWhenUsed/>
    <w:rsid w:val="00FA7C8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A7C89"/>
  </w:style>
  <w:style w:type="paragraph" w:styleId="Piedepgina">
    <w:name w:val="footer"/>
    <w:basedOn w:val="Normal"/>
    <w:link w:val="PiedepginaCar"/>
    <w:uiPriority w:val="99"/>
    <w:unhideWhenUsed/>
    <w:rsid w:val="00FA7C8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A7C89"/>
  </w:style>
  <w:style w:type="paragraph" w:styleId="Textodeglobo">
    <w:name w:val="Balloon Text"/>
    <w:basedOn w:val="Normal"/>
    <w:link w:val="TextodegloboCar"/>
    <w:uiPriority w:val="99"/>
    <w:semiHidden/>
    <w:unhideWhenUsed/>
    <w:rsid w:val="005B5D4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5B5D4F"/>
    <w:rPr>
      <w:rFonts w:ascii="Tahoma" w:hAnsi="Tahoma" w:cs="Tahoma"/>
      <w:sz w:val="16"/>
      <w:szCs w:val="16"/>
    </w:rPr>
  </w:style>
  <w:style w:type="character" w:styleId="Nmerodepgina">
    <w:name w:val="page number"/>
    <w:basedOn w:val="Fuentedeprrafopredeter"/>
    <w:uiPriority w:val="99"/>
    <w:unhideWhenUsed/>
    <w:rsid w:val="00A75150"/>
  </w:style>
  <w:style w:type="paragraph" w:styleId="Sinespaciado">
    <w:name w:val="No Spacing"/>
    <w:link w:val="SinespaciadoCar"/>
    <w:uiPriority w:val="1"/>
    <w:qFormat/>
    <w:rsid w:val="00047711"/>
    <w:pPr>
      <w:spacing w:after="0" w:line="240" w:lineRule="auto"/>
    </w:pPr>
    <w:rPr>
      <w:rFonts w:eastAsiaTheme="minorEastAsia"/>
      <w:lang w:val="en-US" w:eastAsia="ja-JP"/>
    </w:rPr>
  </w:style>
  <w:style w:type="character" w:customStyle="1" w:styleId="SinespaciadoCar">
    <w:name w:val="Sin espaciado Car"/>
    <w:basedOn w:val="Fuentedeprrafopredeter"/>
    <w:link w:val="Sinespaciado"/>
    <w:uiPriority w:val="1"/>
    <w:rsid w:val="00047711"/>
    <w:rPr>
      <w:rFonts w:eastAsiaTheme="minorEastAsia"/>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79894">
      <w:bodyDiv w:val="1"/>
      <w:marLeft w:val="0"/>
      <w:marRight w:val="0"/>
      <w:marTop w:val="0"/>
      <w:marBottom w:val="0"/>
      <w:divBdr>
        <w:top w:val="none" w:sz="0" w:space="0" w:color="auto"/>
        <w:left w:val="none" w:sz="0" w:space="0" w:color="auto"/>
        <w:bottom w:val="none" w:sz="0" w:space="0" w:color="auto"/>
        <w:right w:val="none" w:sz="0" w:space="0" w:color="auto"/>
      </w:divBdr>
    </w:div>
    <w:div w:id="48191524">
      <w:bodyDiv w:val="1"/>
      <w:marLeft w:val="0"/>
      <w:marRight w:val="0"/>
      <w:marTop w:val="0"/>
      <w:marBottom w:val="0"/>
      <w:divBdr>
        <w:top w:val="none" w:sz="0" w:space="0" w:color="auto"/>
        <w:left w:val="none" w:sz="0" w:space="0" w:color="auto"/>
        <w:bottom w:val="none" w:sz="0" w:space="0" w:color="auto"/>
        <w:right w:val="none" w:sz="0" w:space="0" w:color="auto"/>
      </w:divBdr>
    </w:div>
    <w:div w:id="185556323">
      <w:bodyDiv w:val="1"/>
      <w:marLeft w:val="0"/>
      <w:marRight w:val="0"/>
      <w:marTop w:val="0"/>
      <w:marBottom w:val="0"/>
      <w:divBdr>
        <w:top w:val="none" w:sz="0" w:space="0" w:color="auto"/>
        <w:left w:val="none" w:sz="0" w:space="0" w:color="auto"/>
        <w:bottom w:val="none" w:sz="0" w:space="0" w:color="auto"/>
        <w:right w:val="none" w:sz="0" w:space="0" w:color="auto"/>
      </w:divBdr>
    </w:div>
    <w:div w:id="190261341">
      <w:bodyDiv w:val="1"/>
      <w:marLeft w:val="0"/>
      <w:marRight w:val="0"/>
      <w:marTop w:val="0"/>
      <w:marBottom w:val="0"/>
      <w:divBdr>
        <w:top w:val="none" w:sz="0" w:space="0" w:color="auto"/>
        <w:left w:val="none" w:sz="0" w:space="0" w:color="auto"/>
        <w:bottom w:val="none" w:sz="0" w:space="0" w:color="auto"/>
        <w:right w:val="none" w:sz="0" w:space="0" w:color="auto"/>
      </w:divBdr>
    </w:div>
    <w:div w:id="472018900">
      <w:bodyDiv w:val="1"/>
      <w:marLeft w:val="0"/>
      <w:marRight w:val="0"/>
      <w:marTop w:val="0"/>
      <w:marBottom w:val="0"/>
      <w:divBdr>
        <w:top w:val="none" w:sz="0" w:space="0" w:color="auto"/>
        <w:left w:val="none" w:sz="0" w:space="0" w:color="auto"/>
        <w:bottom w:val="none" w:sz="0" w:space="0" w:color="auto"/>
        <w:right w:val="none" w:sz="0" w:space="0" w:color="auto"/>
      </w:divBdr>
    </w:div>
    <w:div w:id="500507245">
      <w:bodyDiv w:val="1"/>
      <w:marLeft w:val="0"/>
      <w:marRight w:val="0"/>
      <w:marTop w:val="0"/>
      <w:marBottom w:val="0"/>
      <w:divBdr>
        <w:top w:val="none" w:sz="0" w:space="0" w:color="auto"/>
        <w:left w:val="none" w:sz="0" w:space="0" w:color="auto"/>
        <w:bottom w:val="none" w:sz="0" w:space="0" w:color="auto"/>
        <w:right w:val="none" w:sz="0" w:space="0" w:color="auto"/>
      </w:divBdr>
    </w:div>
    <w:div w:id="557133656">
      <w:bodyDiv w:val="1"/>
      <w:marLeft w:val="0"/>
      <w:marRight w:val="0"/>
      <w:marTop w:val="0"/>
      <w:marBottom w:val="0"/>
      <w:divBdr>
        <w:top w:val="none" w:sz="0" w:space="0" w:color="auto"/>
        <w:left w:val="none" w:sz="0" w:space="0" w:color="auto"/>
        <w:bottom w:val="none" w:sz="0" w:space="0" w:color="auto"/>
        <w:right w:val="none" w:sz="0" w:space="0" w:color="auto"/>
      </w:divBdr>
    </w:div>
    <w:div w:id="620651649">
      <w:bodyDiv w:val="1"/>
      <w:marLeft w:val="0"/>
      <w:marRight w:val="0"/>
      <w:marTop w:val="0"/>
      <w:marBottom w:val="0"/>
      <w:divBdr>
        <w:top w:val="none" w:sz="0" w:space="0" w:color="auto"/>
        <w:left w:val="none" w:sz="0" w:space="0" w:color="auto"/>
        <w:bottom w:val="none" w:sz="0" w:space="0" w:color="auto"/>
        <w:right w:val="none" w:sz="0" w:space="0" w:color="auto"/>
      </w:divBdr>
    </w:div>
    <w:div w:id="681781596">
      <w:bodyDiv w:val="1"/>
      <w:marLeft w:val="0"/>
      <w:marRight w:val="0"/>
      <w:marTop w:val="0"/>
      <w:marBottom w:val="0"/>
      <w:divBdr>
        <w:top w:val="none" w:sz="0" w:space="0" w:color="auto"/>
        <w:left w:val="none" w:sz="0" w:space="0" w:color="auto"/>
        <w:bottom w:val="none" w:sz="0" w:space="0" w:color="auto"/>
        <w:right w:val="none" w:sz="0" w:space="0" w:color="auto"/>
      </w:divBdr>
    </w:div>
    <w:div w:id="894900011">
      <w:bodyDiv w:val="1"/>
      <w:marLeft w:val="0"/>
      <w:marRight w:val="0"/>
      <w:marTop w:val="0"/>
      <w:marBottom w:val="0"/>
      <w:divBdr>
        <w:top w:val="none" w:sz="0" w:space="0" w:color="auto"/>
        <w:left w:val="none" w:sz="0" w:space="0" w:color="auto"/>
        <w:bottom w:val="none" w:sz="0" w:space="0" w:color="auto"/>
        <w:right w:val="none" w:sz="0" w:space="0" w:color="auto"/>
      </w:divBdr>
      <w:divsChild>
        <w:div w:id="1731922446">
          <w:marLeft w:val="0"/>
          <w:marRight w:val="0"/>
          <w:marTop w:val="0"/>
          <w:marBottom w:val="0"/>
          <w:divBdr>
            <w:top w:val="none" w:sz="0" w:space="0" w:color="auto"/>
            <w:left w:val="none" w:sz="0" w:space="0" w:color="auto"/>
            <w:bottom w:val="none" w:sz="0" w:space="0" w:color="auto"/>
            <w:right w:val="none" w:sz="0" w:space="0" w:color="auto"/>
          </w:divBdr>
        </w:div>
        <w:div w:id="1319961598">
          <w:marLeft w:val="0"/>
          <w:marRight w:val="0"/>
          <w:marTop w:val="0"/>
          <w:marBottom w:val="0"/>
          <w:divBdr>
            <w:top w:val="none" w:sz="0" w:space="0" w:color="auto"/>
            <w:left w:val="none" w:sz="0" w:space="0" w:color="auto"/>
            <w:bottom w:val="none" w:sz="0" w:space="0" w:color="auto"/>
            <w:right w:val="none" w:sz="0" w:space="0" w:color="auto"/>
          </w:divBdr>
        </w:div>
      </w:divsChild>
    </w:div>
    <w:div w:id="953949336">
      <w:bodyDiv w:val="1"/>
      <w:marLeft w:val="0"/>
      <w:marRight w:val="0"/>
      <w:marTop w:val="0"/>
      <w:marBottom w:val="0"/>
      <w:divBdr>
        <w:top w:val="none" w:sz="0" w:space="0" w:color="auto"/>
        <w:left w:val="none" w:sz="0" w:space="0" w:color="auto"/>
        <w:bottom w:val="none" w:sz="0" w:space="0" w:color="auto"/>
        <w:right w:val="none" w:sz="0" w:space="0" w:color="auto"/>
      </w:divBdr>
    </w:div>
    <w:div w:id="1027372009">
      <w:bodyDiv w:val="1"/>
      <w:marLeft w:val="0"/>
      <w:marRight w:val="0"/>
      <w:marTop w:val="0"/>
      <w:marBottom w:val="0"/>
      <w:divBdr>
        <w:top w:val="none" w:sz="0" w:space="0" w:color="auto"/>
        <w:left w:val="none" w:sz="0" w:space="0" w:color="auto"/>
        <w:bottom w:val="none" w:sz="0" w:space="0" w:color="auto"/>
        <w:right w:val="none" w:sz="0" w:space="0" w:color="auto"/>
      </w:divBdr>
    </w:div>
    <w:div w:id="1484278070">
      <w:bodyDiv w:val="1"/>
      <w:marLeft w:val="0"/>
      <w:marRight w:val="0"/>
      <w:marTop w:val="0"/>
      <w:marBottom w:val="0"/>
      <w:divBdr>
        <w:top w:val="none" w:sz="0" w:space="0" w:color="auto"/>
        <w:left w:val="none" w:sz="0" w:space="0" w:color="auto"/>
        <w:bottom w:val="none" w:sz="0" w:space="0" w:color="auto"/>
        <w:right w:val="none" w:sz="0" w:space="0" w:color="auto"/>
      </w:divBdr>
      <w:divsChild>
        <w:div w:id="1566406698">
          <w:marLeft w:val="0"/>
          <w:marRight w:val="0"/>
          <w:marTop w:val="0"/>
          <w:marBottom w:val="0"/>
          <w:divBdr>
            <w:top w:val="none" w:sz="0" w:space="0" w:color="auto"/>
            <w:left w:val="none" w:sz="0" w:space="0" w:color="auto"/>
            <w:bottom w:val="none" w:sz="0" w:space="0" w:color="auto"/>
            <w:right w:val="none" w:sz="0" w:space="0" w:color="auto"/>
          </w:divBdr>
        </w:div>
        <w:div w:id="1872953890">
          <w:marLeft w:val="0"/>
          <w:marRight w:val="0"/>
          <w:marTop w:val="0"/>
          <w:marBottom w:val="0"/>
          <w:divBdr>
            <w:top w:val="none" w:sz="0" w:space="0" w:color="auto"/>
            <w:left w:val="none" w:sz="0" w:space="0" w:color="auto"/>
            <w:bottom w:val="none" w:sz="0" w:space="0" w:color="auto"/>
            <w:right w:val="none" w:sz="0" w:space="0" w:color="auto"/>
          </w:divBdr>
        </w:div>
      </w:divsChild>
    </w:div>
    <w:div w:id="1552226120">
      <w:bodyDiv w:val="1"/>
      <w:marLeft w:val="0"/>
      <w:marRight w:val="0"/>
      <w:marTop w:val="0"/>
      <w:marBottom w:val="0"/>
      <w:divBdr>
        <w:top w:val="none" w:sz="0" w:space="0" w:color="auto"/>
        <w:left w:val="none" w:sz="0" w:space="0" w:color="auto"/>
        <w:bottom w:val="none" w:sz="0" w:space="0" w:color="auto"/>
        <w:right w:val="none" w:sz="0" w:space="0" w:color="auto"/>
      </w:divBdr>
    </w:div>
    <w:div w:id="1922986912">
      <w:bodyDiv w:val="1"/>
      <w:marLeft w:val="0"/>
      <w:marRight w:val="0"/>
      <w:marTop w:val="0"/>
      <w:marBottom w:val="0"/>
      <w:divBdr>
        <w:top w:val="none" w:sz="0" w:space="0" w:color="auto"/>
        <w:left w:val="none" w:sz="0" w:space="0" w:color="auto"/>
        <w:bottom w:val="none" w:sz="0" w:space="0" w:color="auto"/>
        <w:right w:val="none" w:sz="0" w:space="0" w:color="auto"/>
      </w:divBdr>
    </w:div>
    <w:div w:id="1927301087">
      <w:bodyDiv w:val="1"/>
      <w:marLeft w:val="0"/>
      <w:marRight w:val="0"/>
      <w:marTop w:val="0"/>
      <w:marBottom w:val="0"/>
      <w:divBdr>
        <w:top w:val="none" w:sz="0" w:space="0" w:color="auto"/>
        <w:left w:val="none" w:sz="0" w:space="0" w:color="auto"/>
        <w:bottom w:val="none" w:sz="0" w:space="0" w:color="auto"/>
        <w:right w:val="none" w:sz="0" w:space="0" w:color="auto"/>
      </w:divBdr>
      <w:divsChild>
        <w:div w:id="1015960118">
          <w:marLeft w:val="0"/>
          <w:marRight w:val="0"/>
          <w:marTop w:val="0"/>
          <w:marBottom w:val="0"/>
          <w:divBdr>
            <w:top w:val="none" w:sz="0" w:space="0" w:color="auto"/>
            <w:left w:val="none" w:sz="0" w:space="0" w:color="auto"/>
            <w:bottom w:val="none" w:sz="0" w:space="0" w:color="auto"/>
            <w:right w:val="none" w:sz="0" w:space="0" w:color="auto"/>
          </w:divBdr>
        </w:div>
      </w:divsChild>
    </w:div>
    <w:div w:id="2035110438">
      <w:bodyDiv w:val="1"/>
      <w:marLeft w:val="0"/>
      <w:marRight w:val="0"/>
      <w:marTop w:val="0"/>
      <w:marBottom w:val="0"/>
      <w:divBdr>
        <w:top w:val="none" w:sz="0" w:space="0" w:color="auto"/>
        <w:left w:val="none" w:sz="0" w:space="0" w:color="auto"/>
        <w:bottom w:val="none" w:sz="0" w:space="0" w:color="auto"/>
        <w:right w:val="none" w:sz="0" w:space="0" w:color="auto"/>
      </w:divBdr>
    </w:div>
    <w:div w:id="2072263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javascript:Vincular('808875')" TargetMode="External"/><Relationship Id="rId3" Type="http://schemas.openxmlformats.org/officeDocument/2006/relationships/numbering" Target="numbering.xml"/><Relationship Id="rId21" Type="http://schemas.openxmlformats.org/officeDocument/2006/relationships/image" Target="media/image6.jpeg"/><Relationship Id="rId7" Type="http://schemas.openxmlformats.org/officeDocument/2006/relationships/webSettings" Target="webSettings.xml"/><Relationship Id="rId12" Type="http://schemas.openxmlformats.org/officeDocument/2006/relationships/hyperlink" Target="javascript:Vincular('816169')" TargetMode="Externa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hyperlink" Target="javascript:Vincular('808874')" TargetMode="External"/><Relationship Id="rId20" Type="http://schemas.openxmlformats.org/officeDocument/2006/relationships/hyperlink" Target="javascript:Vincular('812915')"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jpe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hyperlink" Target="javascript:Vincular('808877')"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yperlink" Target="javascript:Vincular('806040')"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Soluciones Contables y Tributarias</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3AA94A1-E7A3-4A7A-BC53-D8A9CBE13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9607</Words>
  <Characters>52839</Characters>
  <Application>Microsoft Office Word</Application>
  <DocSecurity>0</DocSecurity>
  <Lines>440</Lines>
  <Paragraphs>124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Liliana</dc:creator>
  <cp:lastModifiedBy>NILO</cp:lastModifiedBy>
  <cp:revision>2</cp:revision>
  <dcterms:created xsi:type="dcterms:W3CDTF">2016-03-21T16:04:00Z</dcterms:created>
  <dcterms:modified xsi:type="dcterms:W3CDTF">2016-03-21T16:04:00Z</dcterms:modified>
</cp:coreProperties>
</file>